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8E" w:rsidRDefault="008B607B">
      <w:pPr>
        <w:pStyle w:val="3"/>
        <w:spacing w:line="560" w:lineRule="exact"/>
        <w:jc w:val="both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附件1</w:t>
      </w:r>
    </w:p>
    <w:p w:rsidR="006C748E" w:rsidRDefault="006C748E">
      <w:pPr>
        <w:pStyle w:val="3"/>
        <w:spacing w:line="560" w:lineRule="exact"/>
        <w:jc w:val="both"/>
        <w:rPr>
          <w:sz w:val="36"/>
        </w:rPr>
      </w:pPr>
    </w:p>
    <w:p w:rsidR="006C748E" w:rsidRDefault="008B607B">
      <w:pPr>
        <w:pStyle w:val="3"/>
        <w:spacing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洋浦船舶交通管理系统安全监督管理细则</w:t>
      </w:r>
    </w:p>
    <w:p w:rsidR="006C748E" w:rsidRDefault="008B607B">
      <w:pPr>
        <w:pStyle w:val="3"/>
        <w:spacing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（征求意见稿）</w:t>
      </w:r>
    </w:p>
    <w:p w:rsidR="006C748E" w:rsidRDefault="006C748E"/>
    <w:p w:rsidR="006C748E" w:rsidRDefault="008B607B" w:rsidP="00F05D78">
      <w:pPr>
        <w:spacing w:beforeLines="50" w:afterLines="50" w:line="560" w:lineRule="exact"/>
        <w:jc w:val="center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第一章  总   则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为加强洋浦港船舶交通管理，保障船舶交通安全，提高船舶交通效率，保护水域环境，根据《中华人民共和国海上交通安全法》《中华人民共和国海洋环境保护法》《中华人民共和国船舶交通管理系统安全监督管理规则》等有关法律、规章，制定本细则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本细则适用于在洋浦船舶交通管理系统（以下简称VTS系统）区域（以下简称VTS区域）内航行、停泊和作业的船舶、设施（以下简称船舶）及其所有人、经营人和代理人。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外国籍非军用船舶通过洋浦辖区水域时，应遵守本细则。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中华人民共和国洋浦海事局是监督实施本细则的主管机关。主管机关设置的洋浦船舶交通管理中心（以下简称VTS中心）依据本细则负责具体实施船舶交通管理。</w:t>
      </w:r>
    </w:p>
    <w:p w:rsidR="006C748E" w:rsidRDefault="008B607B" w:rsidP="00F05D78">
      <w:pPr>
        <w:spacing w:beforeLines="50" w:afterLines="50"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第二章  船舶报告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在下列情况下，船舶应通过甚高频无线电话（以下简称VHF）向VTS中心报告船名、位置、动态及VTS中心需要了解的其他情况；如VHF不能建立有效联系应采取一切可行手段向VTS中心报告并得到确认。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（一）驶入规定的VTS报告线；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（二）驶入（出）航道前；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（三）起锚前；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（四）锚泊后；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（五）离泊前；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（六）靠泊后；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（七）移泊前；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（八）移泊后。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船舶实施下列活动，应遵守主管机关有关规定，在活动开始前和完成后，还应向VTS中心报告。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（一）检修主机、舵机、锚机、电台、锅炉以及其他影响船舶操纵性能的设备；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（二）试航、试车和测试磁罗经；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（三）航道内拖带或测速；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（四）非锚地水域以外锚泊；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（五）放艇进行救生演习；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（六）其他影响通航安全的作业。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第六条 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船舶在VTS区域内发生交通事故、污染事故、船员或旅客出现意外等紧急情况或发现其他船舶发生上述情况时，应立即向VTS中心报告。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船舶发现在VTS区域内的助航标志或导航设施移位、灭失、损坏、失常或有碍航行安全的障碍物、漂浮物及其它妨碍航行安全的异常情况，应立即向VTS中心报告。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引航员引领船舶，应向VTS中心报告登船和离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船的船名、时间、位置及其姓名。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第九条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VTS中心的</w:t>
      </w:r>
      <w:r>
        <w:rPr>
          <w:rFonts w:ascii="仿宋_GB2312" w:eastAsia="仿宋_GB2312" w:hAnsi="仿宋_GB2312" w:cs="仿宋_GB2312" w:hint="eastAsia"/>
          <w:sz w:val="32"/>
          <w:szCs w:val="32"/>
        </w:rPr>
        <w:t>VHF呼叫和通话频道为13频道。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船舶报告应使用汉语普通话或英语。</w:t>
      </w:r>
    </w:p>
    <w:p w:rsidR="006C748E" w:rsidRDefault="008B607B" w:rsidP="00F05D78">
      <w:pPr>
        <w:spacing w:beforeLines="50" w:afterLines="50"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第三章  船舶交通管理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第十条 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船舶在VTS区域内航行、停泊、作业时，除应遵守《1972年国际海上避碰规则》，还应遵守交通部和主管机关颁布的有关航行、避让的特别规定，并服从VTS中心监督管理。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船舶进出港口和通过交通管制区、通航密集区或航行条件受限制水域时，应按照主管机关限定的航路、航速或指定的航行次序航行。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第十二条 </w:t>
      </w:r>
      <w:r>
        <w:rPr>
          <w:rFonts w:ascii="仿宋_GB2312" w:eastAsia="仿宋_GB2312" w:hAnsi="仿宋_GB2312" w:cs="仿宋_GB2312" w:hint="eastAsia"/>
          <w:sz w:val="32"/>
          <w:szCs w:val="32"/>
        </w:rPr>
        <w:t>VTS中心可以根据海上交通安全的需要实施交通组织和交通管制，必要时可以对船舶航行计划予以调整、变更。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第十三条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外国籍船舶在引航区内航行或者靠泊、离泊、移泊及靠离引航区外系泊点、装卸站应向引航机构申请引航，其他船舶可以根据需要提出引航申请。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第十四条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引航员引领船舶应在规定水域登离被引领船舶，如遇特殊情况需在其他水域登离被引船舶时，应征得VTS中心同意。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船舶应根据船舶类型、吃水、锚地适用范围，结合水深、水文气象等情况，选择合适位置进行锚泊，遵守锚泊秩序、保持安全的锚泊距离并保持VHF守听。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第十六条 </w:t>
      </w:r>
      <w:r>
        <w:rPr>
          <w:rFonts w:ascii="仿宋_GB2312" w:eastAsia="仿宋_GB2312" w:hAnsi="仿宋_GB2312" w:cs="仿宋_GB2312" w:hint="eastAsia"/>
          <w:sz w:val="32"/>
          <w:szCs w:val="32"/>
        </w:rPr>
        <w:t>任何船舶不得在航道、港池、航道交汇水域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及禁锚区内锚泊，特殊情况下需要锚泊时，应提前向VTS中心提出申请，得到允许后方可锚泊。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船舶在锚地并靠或过驳必须符合交通部和主管机关的有关规定，并应及时通报VTS中心。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第十八条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船舶在VTS区域内航行、停泊和作业时，应在VHF13和VHF16频道上保持守听，并应接受VTS中心的询问。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除本细则要求的报告外，其他任何船台或岸台不得占用和干扰上述频道的频率和通信秩序。船舶在非紧急情况下，不得干扰正在规定频道上进行的通话，或进行与航行无关的通话。</w:t>
      </w:r>
    </w:p>
    <w:p w:rsidR="006C748E" w:rsidRDefault="008B607B" w:rsidP="00F05D78">
      <w:pPr>
        <w:spacing w:beforeLines="50" w:afterLines="50"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第四章  船舶交通服务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VTS中心通过信息服务平台发布船舶动态、交通管制等相关信息。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必要时或应请求，VTS中心可在VHF工作频道上进行助航标志、水文气象、航行警（通）告及其他重要安全信息的广播。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船舶出现故障或损坏、遇恶劣气象环境等导致航行困难时，可向VTS中心请求提供助航服务或航行安全的建议。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船舶不再需要助航服务时，应及时报告VTS中心。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为避免船舶发生紧迫局面和船舶交通事故，VTS中心可向船舶提出建议或发出危险警告。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在VTS区域内发生船舶交通事故，VTS中心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可采取应急措施并协助进行救助工作，支持各类联合行动。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应船舶所有人、经营人或代理人的请求，交管中心可为其传递有关救助、打捞或污染清除等信息。</w:t>
      </w:r>
    </w:p>
    <w:p w:rsidR="006C748E" w:rsidRDefault="008B607B" w:rsidP="00F05D78">
      <w:pPr>
        <w:spacing w:beforeLines="50" w:afterLines="50"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第五章  法律责任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本细则的实施，不免除船长对本船安全航行的责任，也不免除引航员安全引领船舶的责任。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为避免危及人命财产或环境安全的紧急情况发生，船长和引航员在背离本细则有关条款时，应立即报告VTS中心。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对违反本细则的，主管机关可依据有关法律、法规和规章给予相应的处罚。</w:t>
      </w:r>
    </w:p>
    <w:p w:rsidR="006C748E" w:rsidRDefault="008B607B" w:rsidP="00F05D78">
      <w:pPr>
        <w:spacing w:beforeLines="50" w:afterLines="50"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第六章  附则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本细则下列用语的含义是：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（一）“VTS系统”是指为保障船舶交通安全，提高交通效率，保护水域环境，由主管机关设置的对船舶实施交通管制并提供咨询服务的系统。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（二）“VTS区域”是指洋浦港报告线以内的通航水域。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洋浦港报告线为19°37′58.50″N/109°7′43.00″E、19°37′57.10″N/108°54′39.90″E、19°52′15.70″N/ 108°54′37.50″E、19°52′17.42″N/109°15′19.47″E四点连线。</w:t>
      </w:r>
    </w:p>
    <w:p w:rsidR="006C748E" w:rsidRDefault="008B607B">
      <w:pPr>
        <w:numPr>
          <w:ilvl w:val="0"/>
          <w:numId w:val="1"/>
        </w:numPr>
        <w:spacing w:line="560" w:lineRule="exact"/>
        <w:ind w:firstLineChars="205" w:firstLine="65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“船舶”是指除军用船、公务船、渔船、体育运动船外的下列船舶：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1.客船、客滚船；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2.300总吨及以上的其他船舶；</w:t>
      </w:r>
    </w:p>
    <w:p w:rsidR="006C748E" w:rsidRDefault="008B607B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3.300总吨以下自愿参加船舶报告的船舶。</w:t>
      </w:r>
    </w:p>
    <w:p w:rsidR="006C748E" w:rsidRDefault="008B607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第二十九条 </w:t>
      </w:r>
      <w:r>
        <w:rPr>
          <w:rFonts w:ascii="仿宋_GB2312" w:eastAsia="仿宋_GB2312" w:hAnsi="仿宋_GB2312" w:cs="仿宋_GB2312" w:hint="eastAsia"/>
          <w:sz w:val="32"/>
          <w:szCs w:val="32"/>
        </w:rPr>
        <w:t>本细则由中华人民共和国洋浦海事局负责解释。</w:t>
      </w:r>
    </w:p>
    <w:p w:rsidR="006C748E" w:rsidRDefault="008B607B">
      <w:pPr>
        <w:spacing w:line="560" w:lineRule="exact"/>
        <w:ind w:firstLineChars="205" w:firstLine="659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第三十条 </w:t>
      </w:r>
      <w:r>
        <w:rPr>
          <w:rFonts w:ascii="仿宋_GB2312" w:eastAsia="仿宋_GB2312" w:hAnsi="仿宋_GB2312" w:cs="仿宋_GB2312" w:hint="eastAsia"/>
          <w:sz w:val="32"/>
          <w:szCs w:val="32"/>
        </w:rPr>
        <w:t>本细则自发布之日起实施。</w:t>
      </w:r>
    </w:p>
    <w:sectPr w:rsidR="006C748E" w:rsidSect="00F05D78">
      <w:headerReference w:type="default" r:id="rId8"/>
      <w:pgSz w:w="11906" w:h="16838"/>
      <w:pgMar w:top="1440" w:right="1800" w:bottom="1440" w:left="1800" w:header="851" w:footer="68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83" w:rsidRDefault="001F2D83">
      <w:r>
        <w:separator/>
      </w:r>
    </w:p>
  </w:endnote>
  <w:endnote w:type="continuationSeparator" w:id="0">
    <w:p w:rsidR="001F2D83" w:rsidRDefault="001F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83" w:rsidRDefault="001F2D83">
      <w:r>
        <w:separator/>
      </w:r>
    </w:p>
  </w:footnote>
  <w:footnote w:type="continuationSeparator" w:id="0">
    <w:p w:rsidR="001F2D83" w:rsidRDefault="001F2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8E" w:rsidRDefault="006C748E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C0819F"/>
    <w:multiLevelType w:val="singleLevel"/>
    <w:tmpl w:val="E0C0819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6A46FD9"/>
    <w:multiLevelType w:val="multilevel"/>
    <w:tmpl w:val="66A46FD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89"/>
    <w:rsid w:val="00030F89"/>
    <w:rsid w:val="001F2D83"/>
    <w:rsid w:val="00514305"/>
    <w:rsid w:val="006C748E"/>
    <w:rsid w:val="007803E9"/>
    <w:rsid w:val="00793410"/>
    <w:rsid w:val="00874FE3"/>
    <w:rsid w:val="008B607B"/>
    <w:rsid w:val="008D2154"/>
    <w:rsid w:val="00994930"/>
    <w:rsid w:val="009E5D2E"/>
    <w:rsid w:val="00B263B8"/>
    <w:rsid w:val="00DE64FC"/>
    <w:rsid w:val="00EB4704"/>
    <w:rsid w:val="00F05D78"/>
    <w:rsid w:val="01EB1FB6"/>
    <w:rsid w:val="029912AC"/>
    <w:rsid w:val="03BD2C7C"/>
    <w:rsid w:val="07F05157"/>
    <w:rsid w:val="080F2346"/>
    <w:rsid w:val="08740176"/>
    <w:rsid w:val="0BA64FE0"/>
    <w:rsid w:val="0F072710"/>
    <w:rsid w:val="11DB315B"/>
    <w:rsid w:val="12F33DA3"/>
    <w:rsid w:val="161378FB"/>
    <w:rsid w:val="1A772E5C"/>
    <w:rsid w:val="1A9D7C7A"/>
    <w:rsid w:val="1E0C0EEE"/>
    <w:rsid w:val="22180917"/>
    <w:rsid w:val="22FE4954"/>
    <w:rsid w:val="28111638"/>
    <w:rsid w:val="2A17192B"/>
    <w:rsid w:val="2CC04B0B"/>
    <w:rsid w:val="33350427"/>
    <w:rsid w:val="33754B9A"/>
    <w:rsid w:val="36E57CAD"/>
    <w:rsid w:val="37A67778"/>
    <w:rsid w:val="3C1B7C43"/>
    <w:rsid w:val="3C57511E"/>
    <w:rsid w:val="3D2D6C02"/>
    <w:rsid w:val="45A66F95"/>
    <w:rsid w:val="49034074"/>
    <w:rsid w:val="493F1A79"/>
    <w:rsid w:val="4B56043B"/>
    <w:rsid w:val="4CA2041A"/>
    <w:rsid w:val="519D4089"/>
    <w:rsid w:val="533A5D5D"/>
    <w:rsid w:val="54752D5D"/>
    <w:rsid w:val="561842ED"/>
    <w:rsid w:val="574B28F9"/>
    <w:rsid w:val="58B60FDD"/>
    <w:rsid w:val="5A507DCF"/>
    <w:rsid w:val="5D3D6541"/>
    <w:rsid w:val="5DD4617E"/>
    <w:rsid w:val="5FD56D5C"/>
    <w:rsid w:val="634A17BF"/>
    <w:rsid w:val="66450745"/>
    <w:rsid w:val="669C3AF2"/>
    <w:rsid w:val="68395726"/>
    <w:rsid w:val="6EA4733D"/>
    <w:rsid w:val="706E1493"/>
    <w:rsid w:val="719C7316"/>
    <w:rsid w:val="78524E73"/>
    <w:rsid w:val="7B754AB6"/>
    <w:rsid w:val="7C1D59C8"/>
    <w:rsid w:val="7C33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48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C7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C748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6C748E"/>
    <w:pPr>
      <w:keepNext/>
      <w:tabs>
        <w:tab w:val="left" w:pos="8565"/>
      </w:tabs>
      <w:wordWrap w:val="0"/>
      <w:jc w:val="righ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6C748E"/>
    <w:rPr>
      <w:color w:val="0000FF"/>
      <w:u w:val="single"/>
    </w:rPr>
  </w:style>
  <w:style w:type="character" w:styleId="a4">
    <w:name w:val="Hyperlink"/>
    <w:basedOn w:val="a0"/>
    <w:rsid w:val="006C748E"/>
    <w:rPr>
      <w:rFonts w:ascii="宋体" w:eastAsia="宋体" w:hAnsi="宋体" w:cs="宋体"/>
      <w:color w:val="007CD2"/>
      <w:sz w:val="19"/>
      <w:szCs w:val="19"/>
      <w:u w:val="none"/>
    </w:rPr>
  </w:style>
  <w:style w:type="character" w:customStyle="1" w:styleId="normal2">
    <w:name w:val="normal2"/>
    <w:basedOn w:val="a0"/>
    <w:rsid w:val="006C748E"/>
  </w:style>
  <w:style w:type="character" w:customStyle="1" w:styleId="normal">
    <w:name w:val="normal"/>
    <w:basedOn w:val="a0"/>
    <w:rsid w:val="006C748E"/>
    <w:rPr>
      <w:b w:val="0"/>
    </w:rPr>
  </w:style>
  <w:style w:type="paragraph" w:styleId="a5">
    <w:name w:val="footer"/>
    <w:basedOn w:val="a"/>
    <w:rsid w:val="006C7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C7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qFormat/>
    <w:rsid w:val="006C748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6C748E"/>
    <w:pPr>
      <w:ind w:firstLineChars="200" w:firstLine="420"/>
    </w:pPr>
  </w:style>
  <w:style w:type="table" w:styleId="a8">
    <w:name w:val="Table Grid"/>
    <w:basedOn w:val="a1"/>
    <w:rsid w:val="006C74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7803E9"/>
    <w:rPr>
      <w:sz w:val="18"/>
      <w:szCs w:val="18"/>
    </w:rPr>
  </w:style>
  <w:style w:type="character" w:customStyle="1" w:styleId="Char">
    <w:name w:val="批注框文本 Char"/>
    <w:basedOn w:val="a0"/>
    <w:link w:val="a9"/>
    <w:rsid w:val="007803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D2DDE6-0795-4A0A-A4AA-9B5A2586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367</Words>
  <Characters>2095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中华人民共和国洋浦海事局文件</dc:title>
  <dc:creator>Administrator</dc:creator>
  <cp:lastModifiedBy>微软用户</cp:lastModifiedBy>
  <cp:revision>8</cp:revision>
  <cp:lastPrinted>2018-10-31T08:26:00Z</cp:lastPrinted>
  <dcterms:created xsi:type="dcterms:W3CDTF">2018-11-26T08:14:00Z</dcterms:created>
  <dcterms:modified xsi:type="dcterms:W3CDTF">2018-11-27T05:32:00Z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