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pPr>
      <w:bookmarkStart w:id="111" w:name="_GoBack"/>
      <w:bookmarkEnd w:id="111"/>
    </w:p>
    <w:p>
      <w:pPr>
        <w:jc w:val="center"/>
      </w:pPr>
    </w:p>
    <w:p>
      <w:pPr>
        <w:jc w:val="center"/>
      </w:pPr>
    </w:p>
    <w:p>
      <w:pPr>
        <w:jc w:val="center"/>
      </w:pPr>
    </w:p>
    <w:p>
      <w:pPr>
        <w:jc w:val="center"/>
      </w:pPr>
    </w:p>
    <w:p>
      <w:pPr>
        <w:ind w:firstLine="307" w:firstLineChars="59"/>
        <w:jc w:val="center"/>
        <w:rPr>
          <w:sz w:val="48"/>
          <w:szCs w:val="48"/>
        </w:rPr>
      </w:pPr>
      <w:r>
        <w:rPr>
          <w:rFonts w:hint="eastAsia"/>
          <w:b/>
          <w:bCs/>
          <w:sz w:val="52"/>
          <w:szCs w:val="52"/>
        </w:rPr>
        <w:t>海南自由贸易港船员考试英文题库建设项目</w:t>
      </w:r>
    </w:p>
    <w:p>
      <w:pPr>
        <w:ind w:firstLine="283" w:firstLineChars="59"/>
        <w:jc w:val="center"/>
        <w:rPr>
          <w:sz w:val="48"/>
          <w:szCs w:val="48"/>
        </w:rPr>
      </w:pPr>
    </w:p>
    <w:p>
      <w:pPr>
        <w:ind w:firstLine="424" w:firstLineChars="59"/>
        <w:jc w:val="center"/>
        <w:rPr>
          <w:sz w:val="72"/>
          <w:szCs w:val="72"/>
        </w:rPr>
      </w:pPr>
      <w:r>
        <w:rPr>
          <w:rFonts w:hint="eastAsia"/>
          <w:sz w:val="72"/>
          <w:szCs w:val="72"/>
        </w:rPr>
        <w:t>竞争性谈判采购文件</w:t>
      </w:r>
    </w:p>
    <w:p>
      <w:pPr>
        <w:ind w:firstLine="283" w:firstLineChars="59"/>
        <w:jc w:val="center"/>
        <w:rPr>
          <w:sz w:val="48"/>
          <w:szCs w:val="48"/>
        </w:rPr>
      </w:pPr>
    </w:p>
    <w:p>
      <w:pPr>
        <w:ind w:firstLine="283" w:firstLineChars="59"/>
        <w:jc w:val="center"/>
        <w:rPr>
          <w:sz w:val="48"/>
          <w:szCs w:val="48"/>
        </w:rPr>
      </w:pPr>
    </w:p>
    <w:p>
      <w:pPr>
        <w:ind w:firstLine="259" w:firstLineChars="59"/>
        <w:jc w:val="center"/>
        <w:rPr>
          <w:sz w:val="44"/>
          <w:szCs w:val="44"/>
        </w:rPr>
      </w:pPr>
      <w:r>
        <w:rPr>
          <w:rFonts w:hint="eastAsia"/>
          <w:sz w:val="44"/>
          <w:szCs w:val="44"/>
        </w:rPr>
        <w:t>（项目编号：</w:t>
      </w:r>
      <w:r>
        <w:rPr>
          <w:sz w:val="44"/>
          <w:szCs w:val="44"/>
        </w:rPr>
        <w:t>202201</w:t>
      </w:r>
      <w:r>
        <w:rPr>
          <w:rFonts w:hint="eastAsia"/>
          <w:sz w:val="44"/>
          <w:szCs w:val="44"/>
        </w:rPr>
        <w:t>）</w:t>
      </w:r>
    </w:p>
    <w:p>
      <w:pPr>
        <w:ind w:firstLine="259" w:firstLineChars="59"/>
        <w:jc w:val="center"/>
        <w:rPr>
          <w:sz w:val="44"/>
          <w:szCs w:val="44"/>
        </w:rPr>
      </w:pPr>
    </w:p>
    <w:p>
      <w:pPr>
        <w:ind w:firstLine="259" w:firstLineChars="59"/>
        <w:jc w:val="center"/>
        <w:rPr>
          <w:sz w:val="44"/>
          <w:szCs w:val="44"/>
        </w:rPr>
      </w:pPr>
    </w:p>
    <w:p>
      <w:pPr>
        <w:ind w:firstLine="212" w:firstLineChars="59"/>
        <w:jc w:val="center"/>
        <w:rPr>
          <w:sz w:val="36"/>
          <w:szCs w:val="36"/>
        </w:rPr>
      </w:pPr>
      <w:r>
        <w:rPr>
          <w:rFonts w:hint="eastAsia"/>
          <w:sz w:val="36"/>
          <w:szCs w:val="36"/>
        </w:rPr>
        <w:t>采 购 人：中华人民共和国海南海事局</w:t>
      </w:r>
    </w:p>
    <w:p>
      <w:pPr>
        <w:ind w:firstLine="212" w:firstLineChars="59"/>
        <w:jc w:val="center"/>
        <w:rPr>
          <w:sz w:val="36"/>
          <w:szCs w:val="36"/>
        </w:rPr>
      </w:pPr>
    </w:p>
    <w:p>
      <w:pPr>
        <w:ind w:firstLine="212" w:firstLineChars="59"/>
        <w:jc w:val="center"/>
        <w:rPr>
          <w:sz w:val="36"/>
          <w:szCs w:val="36"/>
        </w:rPr>
      </w:pPr>
    </w:p>
    <w:p>
      <w:pPr>
        <w:ind w:firstLine="212" w:firstLineChars="59"/>
        <w:jc w:val="center"/>
        <w:rPr>
          <w:sz w:val="36"/>
          <w:szCs w:val="36"/>
        </w:rPr>
      </w:pPr>
    </w:p>
    <w:p>
      <w:pPr>
        <w:ind w:firstLine="212" w:firstLineChars="59"/>
        <w:jc w:val="center"/>
        <w:rPr>
          <w:sz w:val="36"/>
          <w:szCs w:val="36"/>
        </w:rPr>
      </w:pPr>
      <w:r>
        <w:rPr>
          <w:rFonts w:hint="eastAsia"/>
          <w:sz w:val="36"/>
          <w:szCs w:val="36"/>
        </w:rPr>
        <w:t>日   期：二○二二年六月</w:t>
      </w:r>
    </w:p>
    <w:p>
      <w:pPr>
        <w:ind w:firstLine="213" w:firstLineChars="59"/>
        <w:jc w:val="center"/>
        <w:rPr>
          <w:b/>
          <w:sz w:val="36"/>
          <w:szCs w:val="36"/>
        </w:rPr>
      </w:pPr>
    </w:p>
    <w:p>
      <w:pPr>
        <w:sectPr>
          <w:headerReference r:id="rId7" w:type="first"/>
          <w:footerReference r:id="rId10" w:type="first"/>
          <w:headerReference r:id="rId5" w:type="default"/>
          <w:footerReference r:id="rId8" w:type="default"/>
          <w:headerReference r:id="rId6" w:type="even"/>
          <w:footerReference r:id="rId9" w:type="even"/>
          <w:pgSz w:w="11906" w:h="16838"/>
          <w:pgMar w:top="1418" w:right="1361" w:bottom="1361" w:left="1361" w:header="851" w:footer="992" w:gutter="0"/>
          <w:pgNumType w:start="1"/>
          <w:cols w:space="720" w:num="1"/>
          <w:titlePg/>
          <w:docGrid w:type="lines" w:linePitch="312" w:charSpace="0"/>
        </w:sectPr>
      </w:pPr>
    </w:p>
    <w:p/>
    <w:p>
      <w:pPr>
        <w:pStyle w:val="71"/>
        <w:ind w:firstLine="803"/>
        <w:jc w:val="center"/>
        <w:rPr>
          <w:rFonts w:ascii="宋体" w:hAnsi="宋体"/>
          <w:b/>
          <w:bCs/>
          <w:color w:val="auto"/>
          <w:sz w:val="40"/>
          <w:szCs w:val="40"/>
          <w:lang w:val="zh-CN"/>
        </w:rPr>
      </w:pPr>
      <w:r>
        <w:rPr>
          <w:rFonts w:ascii="宋体" w:hAnsi="宋体"/>
          <w:b/>
          <w:bCs/>
          <w:color w:val="auto"/>
          <w:sz w:val="40"/>
          <w:szCs w:val="40"/>
          <w:lang w:val="zh-CN"/>
        </w:rPr>
        <w:t>目</w:t>
      </w:r>
      <w:r>
        <w:rPr>
          <w:rFonts w:hint="eastAsia" w:ascii="宋体" w:hAnsi="宋体"/>
          <w:b/>
          <w:bCs/>
          <w:color w:val="auto"/>
          <w:sz w:val="40"/>
          <w:szCs w:val="40"/>
          <w:lang w:val="zh-CN"/>
        </w:rPr>
        <w:t xml:space="preserve">   </w:t>
      </w:r>
      <w:r>
        <w:rPr>
          <w:rFonts w:ascii="宋体" w:hAnsi="宋体"/>
          <w:b/>
          <w:bCs/>
          <w:color w:val="auto"/>
          <w:sz w:val="40"/>
          <w:szCs w:val="40"/>
          <w:lang w:val="zh-CN"/>
        </w:rPr>
        <w:t>录</w:t>
      </w:r>
    </w:p>
    <w:p/>
    <w:p>
      <w:pPr>
        <w:pStyle w:val="25"/>
        <w:tabs>
          <w:tab w:val="right" w:leader="dot" w:pos="9184"/>
        </w:tabs>
      </w:pPr>
      <w:r>
        <w:fldChar w:fldCharType="begin"/>
      </w:r>
      <w:r>
        <w:instrText xml:space="preserve"> TOC \o "1-3" \h \z \u </w:instrText>
      </w:r>
      <w:r>
        <w:fldChar w:fldCharType="separate"/>
      </w:r>
      <w:r>
        <w:fldChar w:fldCharType="begin"/>
      </w:r>
      <w:r>
        <w:instrText xml:space="preserve"> HYPERLINK \l "_Toc26556" </w:instrText>
      </w:r>
      <w:r>
        <w:fldChar w:fldCharType="separate"/>
      </w:r>
      <w:r>
        <w:rPr>
          <w:rFonts w:hint="eastAsia"/>
        </w:rPr>
        <w:t>第一章 供应商须知及前附表</w:t>
      </w:r>
      <w:r>
        <w:tab/>
      </w:r>
      <w:r>
        <w:fldChar w:fldCharType="begin"/>
      </w:r>
      <w:r>
        <w:instrText xml:space="preserve"> PAGEREF _Toc26556 \h </w:instrText>
      </w:r>
      <w:r>
        <w:fldChar w:fldCharType="separate"/>
      </w:r>
      <w:r>
        <w:t>4</w:t>
      </w:r>
      <w:r>
        <w:fldChar w:fldCharType="end"/>
      </w:r>
      <w:r>
        <w:fldChar w:fldCharType="end"/>
      </w:r>
    </w:p>
    <w:p>
      <w:pPr>
        <w:pStyle w:val="25"/>
        <w:tabs>
          <w:tab w:val="right" w:leader="dot" w:pos="9184"/>
        </w:tabs>
      </w:pPr>
      <w:r>
        <w:fldChar w:fldCharType="begin"/>
      </w:r>
      <w:r>
        <w:instrText xml:space="preserve"> HYPERLINK \l "_Toc18941" </w:instrText>
      </w:r>
      <w:r>
        <w:fldChar w:fldCharType="separate"/>
      </w:r>
      <w:r>
        <w:rPr>
          <w:rFonts w:hint="eastAsia"/>
        </w:rPr>
        <w:t>第二章 合同条款及合同格式</w:t>
      </w:r>
      <w:r>
        <w:tab/>
      </w:r>
      <w:r>
        <w:fldChar w:fldCharType="begin"/>
      </w:r>
      <w:r>
        <w:instrText xml:space="preserve"> PAGEREF _Toc18941 \h </w:instrText>
      </w:r>
      <w:r>
        <w:fldChar w:fldCharType="separate"/>
      </w:r>
      <w:r>
        <w:t>14</w:t>
      </w:r>
      <w:r>
        <w:fldChar w:fldCharType="end"/>
      </w:r>
      <w:r>
        <w:fldChar w:fldCharType="end"/>
      </w:r>
    </w:p>
    <w:p>
      <w:pPr>
        <w:pStyle w:val="30"/>
        <w:tabs>
          <w:tab w:val="right" w:leader="dot" w:pos="9184"/>
        </w:tabs>
        <w:ind w:left="560"/>
      </w:pPr>
      <w:r>
        <w:fldChar w:fldCharType="begin"/>
      </w:r>
      <w:r>
        <w:instrText xml:space="preserve"> HYPERLINK \l "_Toc16642" </w:instrText>
      </w:r>
      <w:r>
        <w:fldChar w:fldCharType="separate"/>
      </w:r>
      <w:r>
        <w:rPr>
          <w:rFonts w:hint="eastAsia"/>
        </w:rPr>
        <w:t>一、名词解释</w:t>
      </w:r>
      <w:r>
        <w:tab/>
      </w:r>
      <w:r>
        <w:fldChar w:fldCharType="begin"/>
      </w:r>
      <w:r>
        <w:instrText xml:space="preserve"> PAGEREF _Toc16642 \h </w:instrText>
      </w:r>
      <w:r>
        <w:fldChar w:fldCharType="separate"/>
      </w:r>
      <w:r>
        <w:t>16</w:t>
      </w:r>
      <w:r>
        <w:fldChar w:fldCharType="end"/>
      </w:r>
      <w:r>
        <w:fldChar w:fldCharType="end"/>
      </w:r>
    </w:p>
    <w:p>
      <w:pPr>
        <w:pStyle w:val="30"/>
        <w:tabs>
          <w:tab w:val="right" w:leader="dot" w:pos="9184"/>
        </w:tabs>
        <w:ind w:left="560"/>
      </w:pPr>
      <w:r>
        <w:fldChar w:fldCharType="begin"/>
      </w:r>
      <w:r>
        <w:instrText xml:space="preserve"> HYPERLINK \l "_Toc24263" </w:instrText>
      </w:r>
      <w:r>
        <w:fldChar w:fldCharType="separate"/>
      </w:r>
      <w:r>
        <w:rPr>
          <w:rFonts w:hint="eastAsia"/>
        </w:rPr>
        <w:t>二、合同文件</w:t>
      </w:r>
      <w:r>
        <w:tab/>
      </w:r>
      <w:r>
        <w:fldChar w:fldCharType="begin"/>
      </w:r>
      <w:r>
        <w:instrText xml:space="preserve"> PAGEREF _Toc24263 \h </w:instrText>
      </w:r>
      <w:r>
        <w:fldChar w:fldCharType="separate"/>
      </w:r>
      <w:r>
        <w:t>16</w:t>
      </w:r>
      <w:r>
        <w:fldChar w:fldCharType="end"/>
      </w:r>
      <w:r>
        <w:fldChar w:fldCharType="end"/>
      </w:r>
    </w:p>
    <w:p>
      <w:pPr>
        <w:pStyle w:val="30"/>
        <w:tabs>
          <w:tab w:val="right" w:leader="dot" w:pos="9184"/>
        </w:tabs>
        <w:ind w:left="560"/>
      </w:pPr>
      <w:r>
        <w:fldChar w:fldCharType="begin"/>
      </w:r>
      <w:r>
        <w:instrText xml:space="preserve"> HYPERLINK \l "_Toc10348" </w:instrText>
      </w:r>
      <w:r>
        <w:fldChar w:fldCharType="separate"/>
      </w:r>
      <w:r>
        <w:rPr>
          <w:rFonts w:hint="eastAsia"/>
        </w:rPr>
        <w:t>三、服务要求</w:t>
      </w:r>
      <w:r>
        <w:tab/>
      </w:r>
      <w:r>
        <w:fldChar w:fldCharType="begin"/>
      </w:r>
      <w:r>
        <w:instrText xml:space="preserve"> PAGEREF _Toc10348 \h </w:instrText>
      </w:r>
      <w:r>
        <w:fldChar w:fldCharType="separate"/>
      </w:r>
      <w:r>
        <w:t>17</w:t>
      </w:r>
      <w:r>
        <w:fldChar w:fldCharType="end"/>
      </w:r>
      <w:r>
        <w:fldChar w:fldCharType="end"/>
      </w:r>
    </w:p>
    <w:p>
      <w:pPr>
        <w:pStyle w:val="30"/>
        <w:tabs>
          <w:tab w:val="right" w:leader="dot" w:pos="9184"/>
        </w:tabs>
        <w:ind w:left="560"/>
      </w:pPr>
      <w:r>
        <w:fldChar w:fldCharType="begin"/>
      </w:r>
      <w:r>
        <w:instrText xml:space="preserve"> HYPERLINK \l "_Toc8274" </w:instrText>
      </w:r>
      <w:r>
        <w:fldChar w:fldCharType="separate"/>
      </w:r>
      <w:r>
        <w:rPr>
          <w:rFonts w:hint="eastAsia"/>
        </w:rPr>
        <w:t>四、服务内容</w:t>
      </w:r>
      <w:r>
        <w:tab/>
      </w:r>
      <w:r>
        <w:fldChar w:fldCharType="begin"/>
      </w:r>
      <w:r>
        <w:instrText xml:space="preserve"> PAGEREF _Toc8274 \h </w:instrText>
      </w:r>
      <w:r>
        <w:fldChar w:fldCharType="separate"/>
      </w:r>
      <w:r>
        <w:t>17</w:t>
      </w:r>
      <w:r>
        <w:fldChar w:fldCharType="end"/>
      </w:r>
      <w:r>
        <w:fldChar w:fldCharType="end"/>
      </w:r>
    </w:p>
    <w:p>
      <w:pPr>
        <w:pStyle w:val="30"/>
        <w:tabs>
          <w:tab w:val="right" w:leader="dot" w:pos="9184"/>
        </w:tabs>
        <w:ind w:left="560"/>
      </w:pPr>
      <w:r>
        <w:fldChar w:fldCharType="begin"/>
      </w:r>
      <w:r>
        <w:instrText xml:space="preserve"> HYPERLINK \l "_Toc16656" </w:instrText>
      </w:r>
      <w:r>
        <w:fldChar w:fldCharType="separate"/>
      </w:r>
      <w:r>
        <w:rPr>
          <w:rFonts w:hint="eastAsia"/>
        </w:rPr>
        <w:t>五、合同金额及支付方式</w:t>
      </w:r>
      <w:r>
        <w:tab/>
      </w:r>
      <w:r>
        <w:fldChar w:fldCharType="begin"/>
      </w:r>
      <w:r>
        <w:instrText xml:space="preserve"> PAGEREF _Toc16656 \h </w:instrText>
      </w:r>
      <w:r>
        <w:fldChar w:fldCharType="separate"/>
      </w:r>
      <w:r>
        <w:t>19</w:t>
      </w:r>
      <w:r>
        <w:fldChar w:fldCharType="end"/>
      </w:r>
      <w:r>
        <w:fldChar w:fldCharType="end"/>
      </w:r>
    </w:p>
    <w:p>
      <w:pPr>
        <w:pStyle w:val="30"/>
        <w:tabs>
          <w:tab w:val="right" w:leader="dot" w:pos="9184"/>
        </w:tabs>
        <w:ind w:left="560"/>
      </w:pPr>
      <w:r>
        <w:fldChar w:fldCharType="begin"/>
      </w:r>
      <w:r>
        <w:instrText xml:space="preserve"> HYPERLINK \l "_Toc28852" </w:instrText>
      </w:r>
      <w:r>
        <w:fldChar w:fldCharType="separate"/>
      </w:r>
      <w:r>
        <w:rPr>
          <w:rFonts w:hint="eastAsia"/>
        </w:rPr>
        <w:t>六、服务质量、提交成果和项目验收</w:t>
      </w:r>
      <w:r>
        <w:tab/>
      </w:r>
      <w:r>
        <w:fldChar w:fldCharType="begin"/>
      </w:r>
      <w:r>
        <w:instrText xml:space="preserve"> PAGEREF _Toc28852 \h </w:instrText>
      </w:r>
      <w:r>
        <w:fldChar w:fldCharType="separate"/>
      </w:r>
      <w:r>
        <w:t>19</w:t>
      </w:r>
      <w:r>
        <w:fldChar w:fldCharType="end"/>
      </w:r>
      <w:r>
        <w:fldChar w:fldCharType="end"/>
      </w:r>
    </w:p>
    <w:p>
      <w:pPr>
        <w:pStyle w:val="30"/>
        <w:tabs>
          <w:tab w:val="right" w:leader="dot" w:pos="9184"/>
        </w:tabs>
        <w:ind w:left="560"/>
      </w:pPr>
      <w:r>
        <w:fldChar w:fldCharType="begin"/>
      </w:r>
      <w:r>
        <w:instrText xml:space="preserve"> HYPERLINK \l "_Toc27298" </w:instrText>
      </w:r>
      <w:r>
        <w:fldChar w:fldCharType="separate"/>
      </w:r>
      <w:r>
        <w:rPr>
          <w:rFonts w:hint="eastAsia"/>
        </w:rPr>
        <w:t>七、合同期限</w:t>
      </w:r>
      <w:r>
        <w:tab/>
      </w:r>
      <w:r>
        <w:fldChar w:fldCharType="begin"/>
      </w:r>
      <w:r>
        <w:instrText xml:space="preserve"> PAGEREF _Toc27298 \h </w:instrText>
      </w:r>
      <w:r>
        <w:fldChar w:fldCharType="separate"/>
      </w:r>
      <w:r>
        <w:t>20</w:t>
      </w:r>
      <w:r>
        <w:fldChar w:fldCharType="end"/>
      </w:r>
      <w:r>
        <w:fldChar w:fldCharType="end"/>
      </w:r>
    </w:p>
    <w:p>
      <w:pPr>
        <w:pStyle w:val="30"/>
        <w:tabs>
          <w:tab w:val="right" w:leader="dot" w:pos="9184"/>
        </w:tabs>
        <w:ind w:left="560"/>
      </w:pPr>
      <w:r>
        <w:fldChar w:fldCharType="begin"/>
      </w:r>
      <w:r>
        <w:instrText xml:space="preserve"> HYPERLINK \l "_Toc26363" </w:instrText>
      </w:r>
      <w:r>
        <w:fldChar w:fldCharType="separate"/>
      </w:r>
      <w:r>
        <w:rPr>
          <w:rFonts w:hint="eastAsia"/>
        </w:rPr>
        <w:t>八、违约责任</w:t>
      </w:r>
      <w:r>
        <w:tab/>
      </w:r>
      <w:r>
        <w:fldChar w:fldCharType="begin"/>
      </w:r>
      <w:r>
        <w:instrText xml:space="preserve"> PAGEREF _Toc26363 \h </w:instrText>
      </w:r>
      <w:r>
        <w:fldChar w:fldCharType="separate"/>
      </w:r>
      <w:r>
        <w:t>20</w:t>
      </w:r>
      <w:r>
        <w:fldChar w:fldCharType="end"/>
      </w:r>
      <w:r>
        <w:fldChar w:fldCharType="end"/>
      </w:r>
    </w:p>
    <w:p>
      <w:pPr>
        <w:pStyle w:val="30"/>
        <w:tabs>
          <w:tab w:val="right" w:leader="dot" w:pos="9184"/>
        </w:tabs>
        <w:ind w:left="560"/>
      </w:pPr>
      <w:r>
        <w:fldChar w:fldCharType="begin"/>
      </w:r>
      <w:r>
        <w:instrText xml:space="preserve"> HYPERLINK \l "_Toc25974" </w:instrText>
      </w:r>
      <w:r>
        <w:fldChar w:fldCharType="separate"/>
      </w:r>
      <w:r>
        <w:rPr>
          <w:rFonts w:hint="eastAsia"/>
        </w:rPr>
        <w:t>九、纠纷解决</w:t>
      </w:r>
      <w:r>
        <w:tab/>
      </w:r>
      <w:r>
        <w:fldChar w:fldCharType="begin"/>
      </w:r>
      <w:r>
        <w:instrText xml:space="preserve"> PAGEREF _Toc25974 \h </w:instrText>
      </w:r>
      <w:r>
        <w:fldChar w:fldCharType="separate"/>
      </w:r>
      <w:r>
        <w:t>21</w:t>
      </w:r>
      <w:r>
        <w:fldChar w:fldCharType="end"/>
      </w:r>
      <w:r>
        <w:fldChar w:fldCharType="end"/>
      </w:r>
    </w:p>
    <w:p>
      <w:pPr>
        <w:pStyle w:val="30"/>
        <w:tabs>
          <w:tab w:val="right" w:leader="dot" w:pos="9184"/>
        </w:tabs>
        <w:ind w:left="560"/>
      </w:pPr>
      <w:r>
        <w:fldChar w:fldCharType="begin"/>
      </w:r>
      <w:r>
        <w:instrText xml:space="preserve"> HYPERLINK \l "_Toc14758" </w:instrText>
      </w:r>
      <w:r>
        <w:fldChar w:fldCharType="separate"/>
      </w:r>
      <w:r>
        <w:rPr>
          <w:rFonts w:hint="eastAsia"/>
        </w:rPr>
        <w:t>十、不可抗力</w:t>
      </w:r>
      <w:r>
        <w:tab/>
      </w:r>
      <w:r>
        <w:fldChar w:fldCharType="begin"/>
      </w:r>
      <w:r>
        <w:instrText xml:space="preserve"> PAGEREF _Toc14758 \h </w:instrText>
      </w:r>
      <w:r>
        <w:fldChar w:fldCharType="separate"/>
      </w:r>
      <w:r>
        <w:t>21</w:t>
      </w:r>
      <w:r>
        <w:fldChar w:fldCharType="end"/>
      </w:r>
      <w:r>
        <w:fldChar w:fldCharType="end"/>
      </w:r>
    </w:p>
    <w:p>
      <w:pPr>
        <w:pStyle w:val="30"/>
        <w:tabs>
          <w:tab w:val="right" w:leader="dot" w:pos="9184"/>
        </w:tabs>
        <w:ind w:left="560"/>
      </w:pPr>
      <w:r>
        <w:fldChar w:fldCharType="begin"/>
      </w:r>
      <w:r>
        <w:instrText xml:space="preserve"> HYPERLINK \l "_Toc3999" </w:instrText>
      </w:r>
      <w:r>
        <w:fldChar w:fldCharType="separate"/>
      </w:r>
      <w:r>
        <w:rPr>
          <w:rFonts w:hint="eastAsia"/>
        </w:rPr>
        <w:t>十一、合同变更</w:t>
      </w:r>
      <w:r>
        <w:tab/>
      </w:r>
      <w:r>
        <w:fldChar w:fldCharType="begin"/>
      </w:r>
      <w:r>
        <w:instrText xml:space="preserve"> PAGEREF _Toc3999 \h </w:instrText>
      </w:r>
      <w:r>
        <w:fldChar w:fldCharType="separate"/>
      </w:r>
      <w:r>
        <w:t>22</w:t>
      </w:r>
      <w:r>
        <w:fldChar w:fldCharType="end"/>
      </w:r>
      <w:r>
        <w:fldChar w:fldCharType="end"/>
      </w:r>
    </w:p>
    <w:p>
      <w:pPr>
        <w:pStyle w:val="30"/>
        <w:tabs>
          <w:tab w:val="right" w:leader="dot" w:pos="9184"/>
        </w:tabs>
        <w:ind w:left="560"/>
      </w:pPr>
      <w:r>
        <w:fldChar w:fldCharType="begin"/>
      </w:r>
      <w:r>
        <w:instrText xml:space="preserve"> HYPERLINK \l "_Toc4548" </w:instrText>
      </w:r>
      <w:r>
        <w:fldChar w:fldCharType="separate"/>
      </w:r>
      <w:r>
        <w:rPr>
          <w:rFonts w:hint="eastAsia"/>
        </w:rPr>
        <w:t>十二、履约保证金</w:t>
      </w:r>
      <w:r>
        <w:tab/>
      </w:r>
      <w:r>
        <w:fldChar w:fldCharType="begin"/>
      </w:r>
      <w:r>
        <w:instrText xml:space="preserve"> PAGEREF _Toc4548 \h </w:instrText>
      </w:r>
      <w:r>
        <w:fldChar w:fldCharType="separate"/>
      </w:r>
      <w:r>
        <w:t>23</w:t>
      </w:r>
      <w:r>
        <w:fldChar w:fldCharType="end"/>
      </w:r>
      <w:r>
        <w:fldChar w:fldCharType="end"/>
      </w:r>
    </w:p>
    <w:p>
      <w:pPr>
        <w:pStyle w:val="30"/>
        <w:tabs>
          <w:tab w:val="right" w:leader="dot" w:pos="9184"/>
        </w:tabs>
        <w:ind w:left="560"/>
      </w:pPr>
      <w:r>
        <w:fldChar w:fldCharType="begin"/>
      </w:r>
      <w:r>
        <w:instrText xml:space="preserve"> HYPERLINK \l "_Toc19480" </w:instrText>
      </w:r>
      <w:r>
        <w:fldChar w:fldCharType="separate"/>
      </w:r>
      <w:r>
        <w:rPr>
          <w:rFonts w:hint="eastAsia"/>
        </w:rPr>
        <w:t>十三、送达</w:t>
      </w:r>
      <w:r>
        <w:tab/>
      </w:r>
      <w:r>
        <w:fldChar w:fldCharType="begin"/>
      </w:r>
      <w:r>
        <w:instrText xml:space="preserve"> PAGEREF _Toc19480 \h </w:instrText>
      </w:r>
      <w:r>
        <w:fldChar w:fldCharType="separate"/>
      </w:r>
      <w:r>
        <w:t>23</w:t>
      </w:r>
      <w:r>
        <w:fldChar w:fldCharType="end"/>
      </w:r>
      <w:r>
        <w:fldChar w:fldCharType="end"/>
      </w:r>
    </w:p>
    <w:p>
      <w:pPr>
        <w:pStyle w:val="30"/>
        <w:tabs>
          <w:tab w:val="right" w:leader="dot" w:pos="9184"/>
        </w:tabs>
        <w:ind w:left="560"/>
      </w:pPr>
      <w:r>
        <w:fldChar w:fldCharType="begin"/>
      </w:r>
      <w:r>
        <w:instrText xml:space="preserve"> HYPERLINK \l "_Toc13310" </w:instrText>
      </w:r>
      <w:r>
        <w:fldChar w:fldCharType="separate"/>
      </w:r>
      <w:r>
        <w:rPr>
          <w:rFonts w:hint="eastAsia"/>
        </w:rPr>
        <w:t>十四、合同附件</w:t>
      </w:r>
      <w:r>
        <w:tab/>
      </w:r>
      <w:r>
        <w:fldChar w:fldCharType="begin"/>
      </w:r>
      <w:r>
        <w:instrText xml:space="preserve"> PAGEREF _Toc13310 \h </w:instrText>
      </w:r>
      <w:r>
        <w:fldChar w:fldCharType="separate"/>
      </w:r>
      <w:r>
        <w:t>24</w:t>
      </w:r>
      <w:r>
        <w:fldChar w:fldCharType="end"/>
      </w:r>
      <w:r>
        <w:fldChar w:fldCharType="end"/>
      </w:r>
    </w:p>
    <w:p>
      <w:pPr>
        <w:pStyle w:val="30"/>
        <w:tabs>
          <w:tab w:val="right" w:leader="dot" w:pos="9184"/>
        </w:tabs>
        <w:ind w:left="560"/>
      </w:pPr>
      <w:r>
        <w:fldChar w:fldCharType="begin"/>
      </w:r>
      <w:r>
        <w:instrText xml:space="preserve"> HYPERLINK \l "_Toc27670" </w:instrText>
      </w:r>
      <w:r>
        <w:fldChar w:fldCharType="separate"/>
      </w:r>
      <w:r>
        <w:rPr>
          <w:rFonts w:hint="eastAsia"/>
        </w:rPr>
        <w:t>十五、合同生效及其他</w:t>
      </w:r>
      <w:r>
        <w:tab/>
      </w:r>
      <w:r>
        <w:fldChar w:fldCharType="begin"/>
      </w:r>
      <w:r>
        <w:instrText xml:space="preserve"> PAGEREF _Toc27670 \h </w:instrText>
      </w:r>
      <w:r>
        <w:fldChar w:fldCharType="separate"/>
      </w:r>
      <w:r>
        <w:t>24</w:t>
      </w:r>
      <w:r>
        <w:fldChar w:fldCharType="end"/>
      </w:r>
      <w:r>
        <w:fldChar w:fldCharType="end"/>
      </w:r>
    </w:p>
    <w:p>
      <w:pPr>
        <w:pStyle w:val="30"/>
        <w:tabs>
          <w:tab w:val="right" w:leader="dot" w:pos="9184"/>
        </w:tabs>
        <w:ind w:left="560"/>
      </w:pPr>
      <w:r>
        <w:fldChar w:fldCharType="begin"/>
      </w:r>
      <w:r>
        <w:instrText xml:space="preserve"> HYPERLINK \l "_Toc5923" </w:instrText>
      </w:r>
      <w:r>
        <w:fldChar w:fldCharType="separate"/>
      </w:r>
      <w:r>
        <w:rPr>
          <w:rFonts w:hint="eastAsia"/>
        </w:rPr>
        <w:t>附件一：</w:t>
      </w:r>
      <w:r>
        <w:tab/>
      </w:r>
      <w:r>
        <w:fldChar w:fldCharType="begin"/>
      </w:r>
      <w:r>
        <w:instrText xml:space="preserve"> PAGEREF _Toc5923 \h </w:instrText>
      </w:r>
      <w:r>
        <w:fldChar w:fldCharType="separate"/>
      </w:r>
      <w:r>
        <w:t>27</w:t>
      </w:r>
      <w:r>
        <w:fldChar w:fldCharType="end"/>
      </w:r>
      <w:r>
        <w:fldChar w:fldCharType="end"/>
      </w:r>
    </w:p>
    <w:p>
      <w:pPr>
        <w:pStyle w:val="30"/>
        <w:tabs>
          <w:tab w:val="right" w:leader="dot" w:pos="9184"/>
        </w:tabs>
        <w:ind w:left="560"/>
      </w:pPr>
      <w:r>
        <w:fldChar w:fldCharType="begin"/>
      </w:r>
      <w:r>
        <w:instrText xml:space="preserve"> HYPERLINK \l "_Toc29676" </w:instrText>
      </w:r>
      <w:r>
        <w:fldChar w:fldCharType="separate"/>
      </w:r>
      <w:r>
        <w:rPr>
          <w:rFonts w:hint="eastAsia"/>
        </w:rPr>
        <w:t>附件二：</w:t>
      </w:r>
      <w:r>
        <w:tab/>
      </w:r>
      <w:r>
        <w:fldChar w:fldCharType="begin"/>
      </w:r>
      <w:r>
        <w:instrText xml:space="preserve"> PAGEREF _Toc29676 \h </w:instrText>
      </w:r>
      <w:r>
        <w:fldChar w:fldCharType="separate"/>
      </w:r>
      <w:r>
        <w:t>30</w:t>
      </w:r>
      <w:r>
        <w:fldChar w:fldCharType="end"/>
      </w:r>
      <w:r>
        <w:fldChar w:fldCharType="end"/>
      </w:r>
    </w:p>
    <w:p>
      <w:pPr>
        <w:pStyle w:val="25"/>
        <w:tabs>
          <w:tab w:val="right" w:leader="dot" w:pos="9184"/>
        </w:tabs>
      </w:pPr>
      <w:r>
        <w:fldChar w:fldCharType="begin"/>
      </w:r>
      <w:r>
        <w:instrText xml:space="preserve"> HYPERLINK \l "_Toc31730" </w:instrText>
      </w:r>
      <w:r>
        <w:fldChar w:fldCharType="separate"/>
      </w:r>
      <w:r>
        <w:rPr>
          <w:rFonts w:hint="eastAsia"/>
        </w:rPr>
        <w:t>第三章 服务要求</w:t>
      </w:r>
      <w:r>
        <w:tab/>
      </w:r>
      <w:r>
        <w:fldChar w:fldCharType="begin"/>
      </w:r>
      <w:r>
        <w:instrText xml:space="preserve"> PAGEREF _Toc31730 \h </w:instrText>
      </w:r>
      <w:r>
        <w:fldChar w:fldCharType="separate"/>
      </w:r>
      <w:r>
        <w:t>32</w:t>
      </w:r>
      <w:r>
        <w:fldChar w:fldCharType="end"/>
      </w:r>
      <w:r>
        <w:fldChar w:fldCharType="end"/>
      </w:r>
    </w:p>
    <w:p>
      <w:pPr>
        <w:pStyle w:val="30"/>
        <w:tabs>
          <w:tab w:val="right" w:leader="dot" w:pos="9184"/>
        </w:tabs>
        <w:ind w:left="560"/>
      </w:pPr>
      <w:r>
        <w:fldChar w:fldCharType="begin"/>
      </w:r>
      <w:r>
        <w:instrText xml:space="preserve"> HYPERLINK \l "_Toc8243" </w:instrText>
      </w:r>
      <w:r>
        <w:fldChar w:fldCharType="separate"/>
      </w:r>
      <w:r>
        <w:rPr>
          <w:rFonts w:hint="eastAsia"/>
        </w:rPr>
        <w:t>一、 项目概况</w:t>
      </w:r>
      <w:r>
        <w:tab/>
      </w:r>
      <w:r>
        <w:fldChar w:fldCharType="begin"/>
      </w:r>
      <w:r>
        <w:instrText xml:space="preserve"> PAGEREF _Toc8243 \h </w:instrText>
      </w:r>
      <w:r>
        <w:fldChar w:fldCharType="separate"/>
      </w:r>
      <w:r>
        <w:t>33</w:t>
      </w:r>
      <w:r>
        <w:fldChar w:fldCharType="end"/>
      </w:r>
      <w:r>
        <w:fldChar w:fldCharType="end"/>
      </w:r>
    </w:p>
    <w:p>
      <w:pPr>
        <w:pStyle w:val="17"/>
        <w:tabs>
          <w:tab w:val="right" w:leader="dot" w:pos="9184"/>
        </w:tabs>
        <w:ind w:left="1120"/>
      </w:pPr>
      <w:r>
        <w:fldChar w:fldCharType="begin"/>
      </w:r>
      <w:r>
        <w:instrText xml:space="preserve"> HYPERLINK \l "_Toc30759" </w:instrText>
      </w:r>
      <w:r>
        <w:fldChar w:fldCharType="separate"/>
      </w:r>
      <w:r>
        <w:rPr>
          <w:rFonts w:hint="eastAsia"/>
        </w:rPr>
        <w:t>1.</w:t>
      </w:r>
      <w:r>
        <w:t xml:space="preserve"> 项目名称</w:t>
      </w:r>
      <w:r>
        <w:tab/>
      </w:r>
      <w:r>
        <w:fldChar w:fldCharType="begin"/>
      </w:r>
      <w:r>
        <w:instrText xml:space="preserve"> PAGEREF _Toc30759 \h </w:instrText>
      </w:r>
      <w:r>
        <w:fldChar w:fldCharType="separate"/>
      </w:r>
      <w:r>
        <w:t>33</w:t>
      </w:r>
      <w:r>
        <w:fldChar w:fldCharType="end"/>
      </w:r>
      <w:r>
        <w:fldChar w:fldCharType="end"/>
      </w:r>
    </w:p>
    <w:p>
      <w:pPr>
        <w:pStyle w:val="17"/>
        <w:tabs>
          <w:tab w:val="right" w:leader="dot" w:pos="9184"/>
        </w:tabs>
        <w:ind w:left="1120"/>
      </w:pPr>
      <w:r>
        <w:fldChar w:fldCharType="begin"/>
      </w:r>
      <w:r>
        <w:instrText xml:space="preserve"> HYPERLINK \l "_Toc29972" </w:instrText>
      </w:r>
      <w:r>
        <w:fldChar w:fldCharType="separate"/>
      </w:r>
      <w:r>
        <w:rPr>
          <w:rFonts w:hint="eastAsia"/>
        </w:rPr>
        <w:t>2.</w:t>
      </w:r>
      <w:r>
        <w:t xml:space="preserve"> </w:t>
      </w:r>
      <w:r>
        <w:rPr>
          <w:rFonts w:hint="eastAsia"/>
        </w:rPr>
        <w:t>项目规模</w:t>
      </w:r>
      <w:r>
        <w:tab/>
      </w:r>
      <w:r>
        <w:fldChar w:fldCharType="begin"/>
      </w:r>
      <w:r>
        <w:instrText xml:space="preserve"> PAGEREF _Toc29972 \h </w:instrText>
      </w:r>
      <w:r>
        <w:fldChar w:fldCharType="separate"/>
      </w:r>
      <w:r>
        <w:t>33</w:t>
      </w:r>
      <w:r>
        <w:fldChar w:fldCharType="end"/>
      </w:r>
      <w:r>
        <w:fldChar w:fldCharType="end"/>
      </w:r>
    </w:p>
    <w:p>
      <w:pPr>
        <w:pStyle w:val="17"/>
        <w:tabs>
          <w:tab w:val="right" w:leader="dot" w:pos="9184"/>
        </w:tabs>
        <w:ind w:left="1120"/>
      </w:pPr>
      <w:r>
        <w:fldChar w:fldCharType="begin"/>
      </w:r>
      <w:r>
        <w:instrText xml:space="preserve"> HYPERLINK \l "_Toc14116" </w:instrText>
      </w:r>
      <w:r>
        <w:fldChar w:fldCharType="separate"/>
      </w:r>
      <w:r>
        <w:t xml:space="preserve">3. </w:t>
      </w:r>
      <w:r>
        <w:rPr>
          <w:rFonts w:hint="eastAsia"/>
        </w:rPr>
        <w:t>服务内容</w:t>
      </w:r>
      <w:r>
        <w:tab/>
      </w:r>
      <w:r>
        <w:fldChar w:fldCharType="begin"/>
      </w:r>
      <w:r>
        <w:instrText xml:space="preserve"> PAGEREF _Toc14116 \h </w:instrText>
      </w:r>
      <w:r>
        <w:fldChar w:fldCharType="separate"/>
      </w:r>
      <w:r>
        <w:t>33</w:t>
      </w:r>
      <w:r>
        <w:fldChar w:fldCharType="end"/>
      </w:r>
      <w:r>
        <w:fldChar w:fldCharType="end"/>
      </w:r>
    </w:p>
    <w:p>
      <w:pPr>
        <w:pStyle w:val="30"/>
        <w:tabs>
          <w:tab w:val="right" w:leader="dot" w:pos="9184"/>
        </w:tabs>
        <w:ind w:left="560"/>
      </w:pPr>
      <w:r>
        <w:fldChar w:fldCharType="begin"/>
      </w:r>
      <w:r>
        <w:instrText xml:space="preserve"> HYPERLINK \l "_Toc12508" </w:instrText>
      </w:r>
      <w:r>
        <w:fldChar w:fldCharType="separate"/>
      </w:r>
      <w:r>
        <w:rPr>
          <w:rFonts w:hint="eastAsia"/>
        </w:rPr>
        <w:t>二、 服务需求</w:t>
      </w:r>
      <w:r>
        <w:tab/>
      </w:r>
      <w:r>
        <w:fldChar w:fldCharType="begin"/>
      </w:r>
      <w:r>
        <w:instrText xml:space="preserve"> PAGEREF _Toc12508 \h </w:instrText>
      </w:r>
      <w:r>
        <w:fldChar w:fldCharType="separate"/>
      </w:r>
      <w:r>
        <w:t>34</w:t>
      </w:r>
      <w:r>
        <w:fldChar w:fldCharType="end"/>
      </w:r>
      <w:r>
        <w:fldChar w:fldCharType="end"/>
      </w:r>
    </w:p>
    <w:p>
      <w:pPr>
        <w:pStyle w:val="17"/>
        <w:tabs>
          <w:tab w:val="right" w:leader="dot" w:pos="9184"/>
        </w:tabs>
        <w:ind w:left="1120"/>
      </w:pPr>
      <w:r>
        <w:fldChar w:fldCharType="begin"/>
      </w:r>
      <w:r>
        <w:instrText xml:space="preserve"> HYPERLINK \l "_Toc1195" </w:instrText>
      </w:r>
      <w:r>
        <w:fldChar w:fldCharType="separate"/>
      </w:r>
      <w:r>
        <w:rPr>
          <w:rFonts w:hint="eastAsia"/>
        </w:rPr>
        <w:t>1.</w:t>
      </w:r>
      <w:r>
        <w:t xml:space="preserve"> </w:t>
      </w:r>
      <w:r>
        <w:rPr>
          <w:rFonts w:hint="eastAsia"/>
        </w:rPr>
        <w:t>考试服务要求</w:t>
      </w:r>
      <w:r>
        <w:tab/>
      </w:r>
      <w:r>
        <w:fldChar w:fldCharType="begin"/>
      </w:r>
      <w:r>
        <w:instrText xml:space="preserve"> PAGEREF _Toc1195 \h </w:instrText>
      </w:r>
      <w:r>
        <w:fldChar w:fldCharType="separate"/>
      </w:r>
      <w:r>
        <w:t>34</w:t>
      </w:r>
      <w:r>
        <w:fldChar w:fldCharType="end"/>
      </w:r>
      <w:r>
        <w:fldChar w:fldCharType="end"/>
      </w:r>
    </w:p>
    <w:p>
      <w:pPr>
        <w:pStyle w:val="17"/>
        <w:tabs>
          <w:tab w:val="right" w:leader="dot" w:pos="9184"/>
        </w:tabs>
        <w:ind w:left="1120"/>
      </w:pPr>
      <w:r>
        <w:fldChar w:fldCharType="begin"/>
      </w:r>
      <w:r>
        <w:instrText xml:space="preserve"> HYPERLINK \l "_Toc1098" </w:instrText>
      </w:r>
      <w:r>
        <w:fldChar w:fldCharType="separate"/>
      </w:r>
      <w:r>
        <w:rPr>
          <w:rFonts w:hint="eastAsia"/>
        </w:rPr>
        <w:t>2.</w:t>
      </w:r>
      <w:r>
        <w:t xml:space="preserve"> </w:t>
      </w:r>
      <w:r>
        <w:rPr>
          <w:rFonts w:hint="eastAsia"/>
        </w:rPr>
        <w:t>考试服务规范</w:t>
      </w:r>
      <w:r>
        <w:tab/>
      </w:r>
      <w:r>
        <w:fldChar w:fldCharType="begin"/>
      </w:r>
      <w:r>
        <w:instrText xml:space="preserve"> PAGEREF _Toc1098 \h </w:instrText>
      </w:r>
      <w:r>
        <w:fldChar w:fldCharType="separate"/>
      </w:r>
      <w:r>
        <w:t>35</w:t>
      </w:r>
      <w:r>
        <w:fldChar w:fldCharType="end"/>
      </w:r>
      <w:r>
        <w:fldChar w:fldCharType="end"/>
      </w:r>
    </w:p>
    <w:p>
      <w:pPr>
        <w:pStyle w:val="17"/>
        <w:tabs>
          <w:tab w:val="right" w:leader="dot" w:pos="9184"/>
        </w:tabs>
        <w:ind w:left="1120"/>
      </w:pPr>
      <w:r>
        <w:fldChar w:fldCharType="begin"/>
      </w:r>
      <w:r>
        <w:instrText xml:space="preserve"> HYPERLINK \l "_Toc6777" </w:instrText>
      </w:r>
      <w:r>
        <w:fldChar w:fldCharType="separate"/>
      </w:r>
      <w:r>
        <w:rPr>
          <w:rFonts w:hint="eastAsia"/>
        </w:rPr>
        <w:t>3.</w:t>
      </w:r>
      <w:r>
        <w:t xml:space="preserve"> </w:t>
      </w:r>
      <w:r>
        <w:rPr>
          <w:rFonts w:hint="eastAsia"/>
        </w:rPr>
        <w:t>服务期限</w:t>
      </w:r>
      <w:r>
        <w:tab/>
      </w:r>
      <w:r>
        <w:fldChar w:fldCharType="begin"/>
      </w:r>
      <w:r>
        <w:instrText xml:space="preserve"> PAGEREF _Toc6777 \h </w:instrText>
      </w:r>
      <w:r>
        <w:fldChar w:fldCharType="separate"/>
      </w:r>
      <w:r>
        <w:t>35</w:t>
      </w:r>
      <w:r>
        <w:fldChar w:fldCharType="end"/>
      </w:r>
      <w:r>
        <w:fldChar w:fldCharType="end"/>
      </w:r>
    </w:p>
    <w:p>
      <w:pPr>
        <w:pStyle w:val="17"/>
        <w:tabs>
          <w:tab w:val="right" w:leader="dot" w:pos="9184"/>
        </w:tabs>
        <w:ind w:left="1120"/>
      </w:pPr>
      <w:r>
        <w:fldChar w:fldCharType="begin"/>
      </w:r>
      <w:r>
        <w:instrText xml:space="preserve"> HYPERLINK \l "_Toc17975" </w:instrText>
      </w:r>
      <w:r>
        <w:fldChar w:fldCharType="separate"/>
      </w:r>
      <w:r>
        <w:rPr>
          <w:rFonts w:hint="eastAsia"/>
        </w:rPr>
        <w:t>4.</w:t>
      </w:r>
      <w:r>
        <w:t xml:space="preserve"> </w:t>
      </w:r>
      <w:r>
        <w:rPr>
          <w:rFonts w:hint="eastAsia"/>
        </w:rPr>
        <w:t>供应商的责任</w:t>
      </w:r>
      <w:r>
        <w:tab/>
      </w:r>
      <w:r>
        <w:fldChar w:fldCharType="begin"/>
      </w:r>
      <w:r>
        <w:instrText xml:space="preserve"> PAGEREF _Toc17975 \h </w:instrText>
      </w:r>
      <w:r>
        <w:fldChar w:fldCharType="separate"/>
      </w:r>
      <w:r>
        <w:t>35</w:t>
      </w:r>
      <w:r>
        <w:fldChar w:fldCharType="end"/>
      </w:r>
      <w:r>
        <w:fldChar w:fldCharType="end"/>
      </w:r>
    </w:p>
    <w:p>
      <w:pPr>
        <w:pStyle w:val="17"/>
        <w:tabs>
          <w:tab w:val="right" w:leader="dot" w:pos="9184"/>
        </w:tabs>
        <w:ind w:left="1120"/>
      </w:pPr>
      <w:r>
        <w:fldChar w:fldCharType="begin"/>
      </w:r>
      <w:r>
        <w:instrText xml:space="preserve"> HYPERLINK \l "_Toc12239" </w:instrText>
      </w:r>
      <w:r>
        <w:fldChar w:fldCharType="separate"/>
      </w:r>
      <w:r>
        <w:rPr>
          <w:rFonts w:hint="eastAsia"/>
        </w:rPr>
        <w:t>5.</w:t>
      </w:r>
      <w:r>
        <w:t xml:space="preserve"> </w:t>
      </w:r>
      <w:r>
        <w:rPr>
          <w:rFonts w:hint="eastAsia"/>
        </w:rPr>
        <w:t>服务质量要求</w:t>
      </w:r>
      <w:r>
        <w:tab/>
      </w:r>
      <w:r>
        <w:fldChar w:fldCharType="begin"/>
      </w:r>
      <w:r>
        <w:instrText xml:space="preserve"> PAGEREF _Toc12239 \h </w:instrText>
      </w:r>
      <w:r>
        <w:fldChar w:fldCharType="separate"/>
      </w:r>
      <w:r>
        <w:t>36</w:t>
      </w:r>
      <w:r>
        <w:fldChar w:fldCharType="end"/>
      </w:r>
      <w:r>
        <w:fldChar w:fldCharType="end"/>
      </w:r>
    </w:p>
    <w:p>
      <w:pPr>
        <w:pStyle w:val="17"/>
        <w:tabs>
          <w:tab w:val="right" w:leader="dot" w:pos="9184"/>
        </w:tabs>
        <w:ind w:left="1120"/>
      </w:pPr>
      <w:r>
        <w:fldChar w:fldCharType="begin"/>
      </w:r>
      <w:r>
        <w:instrText xml:space="preserve"> HYPERLINK \l "_Toc17793" </w:instrText>
      </w:r>
      <w:r>
        <w:fldChar w:fldCharType="separate"/>
      </w:r>
      <w:r>
        <w:rPr>
          <w:rFonts w:hint="eastAsia"/>
        </w:rPr>
        <w:t>6.</w:t>
      </w:r>
      <w:r>
        <w:t xml:space="preserve"> </w:t>
      </w:r>
      <w:r>
        <w:rPr>
          <w:rFonts w:hint="eastAsia"/>
        </w:rPr>
        <w:t>服务实施要求</w:t>
      </w:r>
      <w:r>
        <w:tab/>
      </w:r>
      <w:r>
        <w:fldChar w:fldCharType="begin"/>
      </w:r>
      <w:r>
        <w:instrText xml:space="preserve"> PAGEREF _Toc17793 \h </w:instrText>
      </w:r>
      <w:r>
        <w:fldChar w:fldCharType="separate"/>
      </w:r>
      <w:r>
        <w:t>36</w:t>
      </w:r>
      <w:r>
        <w:fldChar w:fldCharType="end"/>
      </w:r>
      <w:r>
        <w:fldChar w:fldCharType="end"/>
      </w:r>
    </w:p>
    <w:p>
      <w:pPr>
        <w:pStyle w:val="17"/>
        <w:tabs>
          <w:tab w:val="right" w:leader="dot" w:pos="9184"/>
        </w:tabs>
        <w:ind w:left="1120"/>
      </w:pPr>
      <w:r>
        <w:fldChar w:fldCharType="begin"/>
      </w:r>
      <w:r>
        <w:instrText xml:space="preserve"> HYPERLINK \l "_Toc552" </w:instrText>
      </w:r>
      <w:r>
        <w:fldChar w:fldCharType="separate"/>
      </w:r>
      <w:r>
        <w:t>7</w:t>
      </w:r>
      <w:r>
        <w:rPr>
          <w:rFonts w:hint="eastAsia"/>
        </w:rPr>
        <w:t>.</w:t>
      </w:r>
      <w:r>
        <w:t xml:space="preserve"> </w:t>
      </w:r>
      <w:r>
        <w:rPr>
          <w:rFonts w:hint="eastAsia"/>
        </w:rPr>
        <w:t>验收与移交</w:t>
      </w:r>
      <w:r>
        <w:tab/>
      </w:r>
      <w:r>
        <w:fldChar w:fldCharType="begin"/>
      </w:r>
      <w:r>
        <w:instrText xml:space="preserve"> PAGEREF _Toc552 \h </w:instrText>
      </w:r>
      <w:r>
        <w:fldChar w:fldCharType="separate"/>
      </w:r>
      <w:r>
        <w:t>37</w:t>
      </w:r>
      <w:r>
        <w:fldChar w:fldCharType="end"/>
      </w:r>
      <w:r>
        <w:fldChar w:fldCharType="end"/>
      </w:r>
    </w:p>
    <w:p>
      <w:pPr>
        <w:pStyle w:val="25"/>
        <w:tabs>
          <w:tab w:val="right" w:leader="dot" w:pos="9184"/>
        </w:tabs>
      </w:pPr>
      <w:r>
        <w:fldChar w:fldCharType="begin"/>
      </w:r>
      <w:r>
        <w:instrText xml:space="preserve"> HYPERLINK \l "_Toc13164" </w:instrText>
      </w:r>
      <w:r>
        <w:fldChar w:fldCharType="separate"/>
      </w:r>
      <w:r>
        <w:rPr>
          <w:rFonts w:hint="eastAsia"/>
        </w:rPr>
        <w:t>第四章 竞标响应文件格式</w:t>
      </w:r>
      <w:r>
        <w:tab/>
      </w:r>
      <w:r>
        <w:fldChar w:fldCharType="begin"/>
      </w:r>
      <w:r>
        <w:instrText xml:space="preserve"> PAGEREF _Toc13164 \h </w:instrText>
      </w:r>
      <w:r>
        <w:fldChar w:fldCharType="separate"/>
      </w:r>
      <w:r>
        <w:t>39</w:t>
      </w:r>
      <w:r>
        <w:fldChar w:fldCharType="end"/>
      </w:r>
      <w:r>
        <w:fldChar w:fldCharType="end"/>
      </w:r>
    </w:p>
    <w:p>
      <w:pPr>
        <w:pStyle w:val="30"/>
        <w:tabs>
          <w:tab w:val="right" w:leader="dot" w:pos="9184"/>
        </w:tabs>
        <w:ind w:left="560"/>
      </w:pPr>
      <w:r>
        <w:fldChar w:fldCharType="begin"/>
      </w:r>
      <w:r>
        <w:instrText xml:space="preserve"> HYPERLINK \l "_Toc2217" </w:instrText>
      </w:r>
      <w:r>
        <w:fldChar w:fldCharType="separate"/>
      </w:r>
      <w:r>
        <w:rPr>
          <w:rFonts w:hint="eastAsia"/>
        </w:rPr>
        <w:t>一、报</w:t>
      </w:r>
      <w:r>
        <w:t xml:space="preserve"> </w:t>
      </w:r>
      <w:r>
        <w:rPr>
          <w:rFonts w:hint="eastAsia"/>
        </w:rPr>
        <w:t>价</w:t>
      </w:r>
      <w:r>
        <w:t xml:space="preserve"> </w:t>
      </w:r>
      <w:r>
        <w:rPr>
          <w:rFonts w:hint="eastAsia"/>
        </w:rPr>
        <w:t>函</w:t>
      </w:r>
      <w:r>
        <w:tab/>
      </w:r>
      <w:r>
        <w:fldChar w:fldCharType="begin"/>
      </w:r>
      <w:r>
        <w:instrText xml:space="preserve"> PAGEREF _Toc2217 \h </w:instrText>
      </w:r>
      <w:r>
        <w:fldChar w:fldCharType="separate"/>
      </w:r>
      <w:r>
        <w:t>40</w:t>
      </w:r>
      <w:r>
        <w:fldChar w:fldCharType="end"/>
      </w:r>
      <w:r>
        <w:fldChar w:fldCharType="end"/>
      </w:r>
    </w:p>
    <w:p>
      <w:pPr>
        <w:pStyle w:val="30"/>
        <w:tabs>
          <w:tab w:val="right" w:leader="dot" w:pos="9184"/>
        </w:tabs>
        <w:ind w:left="560"/>
      </w:pPr>
      <w:r>
        <w:fldChar w:fldCharType="begin"/>
      </w:r>
      <w:r>
        <w:instrText xml:space="preserve"> HYPERLINK \l "_Toc12745" </w:instrText>
      </w:r>
      <w:r>
        <w:fldChar w:fldCharType="separate"/>
      </w:r>
      <w:r>
        <w:rPr>
          <w:rFonts w:hint="eastAsia"/>
        </w:rPr>
        <w:t>二、服务项目报价汇总表</w:t>
      </w:r>
      <w:r>
        <w:tab/>
      </w:r>
      <w:r>
        <w:fldChar w:fldCharType="begin"/>
      </w:r>
      <w:r>
        <w:instrText xml:space="preserve"> PAGEREF _Toc12745 \h </w:instrText>
      </w:r>
      <w:r>
        <w:fldChar w:fldCharType="separate"/>
      </w:r>
      <w:r>
        <w:t>41</w:t>
      </w:r>
      <w:r>
        <w:fldChar w:fldCharType="end"/>
      </w:r>
      <w:r>
        <w:fldChar w:fldCharType="end"/>
      </w:r>
    </w:p>
    <w:p>
      <w:pPr>
        <w:pStyle w:val="30"/>
        <w:tabs>
          <w:tab w:val="right" w:leader="dot" w:pos="9184"/>
        </w:tabs>
        <w:ind w:left="560"/>
      </w:pPr>
      <w:r>
        <w:fldChar w:fldCharType="begin"/>
      </w:r>
      <w:r>
        <w:instrText xml:space="preserve"> HYPERLINK \l "_Toc20497" </w:instrText>
      </w:r>
      <w:r>
        <w:fldChar w:fldCharType="separate"/>
      </w:r>
      <w:r>
        <w:rPr>
          <w:rFonts w:hint="eastAsia"/>
        </w:rPr>
        <w:t>三、商务响应和偏离表</w:t>
      </w:r>
      <w:r>
        <w:tab/>
      </w:r>
      <w:r>
        <w:fldChar w:fldCharType="begin"/>
      </w:r>
      <w:r>
        <w:instrText xml:space="preserve"> PAGEREF _Toc20497 \h </w:instrText>
      </w:r>
      <w:r>
        <w:fldChar w:fldCharType="separate"/>
      </w:r>
      <w:r>
        <w:t>42</w:t>
      </w:r>
      <w:r>
        <w:fldChar w:fldCharType="end"/>
      </w:r>
      <w:r>
        <w:fldChar w:fldCharType="end"/>
      </w:r>
    </w:p>
    <w:p>
      <w:pPr>
        <w:pStyle w:val="30"/>
        <w:tabs>
          <w:tab w:val="right" w:leader="dot" w:pos="9184"/>
        </w:tabs>
        <w:ind w:left="560"/>
      </w:pPr>
      <w:r>
        <w:fldChar w:fldCharType="begin"/>
      </w:r>
      <w:r>
        <w:instrText xml:space="preserve"> HYPERLINK \l "_Toc11180" </w:instrText>
      </w:r>
      <w:r>
        <w:fldChar w:fldCharType="separate"/>
      </w:r>
      <w:r>
        <w:rPr>
          <w:rFonts w:hint="eastAsia"/>
        </w:rPr>
        <w:t>四、技术响应和偏离表</w:t>
      </w:r>
      <w:r>
        <w:tab/>
      </w:r>
      <w:r>
        <w:fldChar w:fldCharType="begin"/>
      </w:r>
      <w:r>
        <w:instrText xml:space="preserve"> PAGEREF _Toc11180 \h </w:instrText>
      </w:r>
      <w:r>
        <w:fldChar w:fldCharType="separate"/>
      </w:r>
      <w:r>
        <w:t>43</w:t>
      </w:r>
      <w:r>
        <w:fldChar w:fldCharType="end"/>
      </w:r>
      <w:r>
        <w:fldChar w:fldCharType="end"/>
      </w:r>
    </w:p>
    <w:p>
      <w:pPr>
        <w:pStyle w:val="30"/>
        <w:tabs>
          <w:tab w:val="right" w:leader="dot" w:pos="9184"/>
        </w:tabs>
        <w:ind w:left="560"/>
      </w:pPr>
      <w:r>
        <w:fldChar w:fldCharType="begin"/>
      </w:r>
      <w:r>
        <w:instrText xml:space="preserve"> HYPERLINK \l "_Toc11063" </w:instrText>
      </w:r>
      <w:r>
        <w:fldChar w:fldCharType="separate"/>
      </w:r>
      <w:r>
        <w:rPr>
          <w:rFonts w:hint="eastAsia"/>
        </w:rPr>
        <w:t>五、资格证明文件</w:t>
      </w:r>
      <w:r>
        <w:tab/>
      </w:r>
      <w:r>
        <w:fldChar w:fldCharType="begin"/>
      </w:r>
      <w:r>
        <w:instrText xml:space="preserve"> PAGEREF _Toc11063 \h </w:instrText>
      </w:r>
      <w:r>
        <w:fldChar w:fldCharType="separate"/>
      </w:r>
      <w:r>
        <w:t>44</w:t>
      </w:r>
      <w:r>
        <w:fldChar w:fldCharType="end"/>
      </w:r>
      <w:r>
        <w:fldChar w:fldCharType="end"/>
      </w:r>
    </w:p>
    <w:p>
      <w:pPr>
        <w:pStyle w:val="30"/>
        <w:tabs>
          <w:tab w:val="right" w:leader="dot" w:pos="9184"/>
        </w:tabs>
        <w:ind w:left="560"/>
      </w:pPr>
      <w:r>
        <w:fldChar w:fldCharType="begin"/>
      </w:r>
      <w:r>
        <w:instrText xml:space="preserve"> HYPERLINK \l "_Toc5236" </w:instrText>
      </w:r>
      <w:r>
        <w:fldChar w:fldCharType="separate"/>
      </w:r>
      <w:r>
        <w:rPr>
          <w:rFonts w:hint="eastAsia"/>
        </w:rPr>
        <w:t>六、</w:t>
      </w:r>
      <w:r>
        <w:t>成功实施过类似项目业绩或合同（格式）</w:t>
      </w:r>
      <w:r>
        <w:tab/>
      </w:r>
      <w:r>
        <w:fldChar w:fldCharType="begin"/>
      </w:r>
      <w:r>
        <w:instrText xml:space="preserve"> PAGEREF _Toc5236 \h </w:instrText>
      </w:r>
      <w:r>
        <w:fldChar w:fldCharType="separate"/>
      </w:r>
      <w:r>
        <w:t>50</w:t>
      </w:r>
      <w:r>
        <w:fldChar w:fldCharType="end"/>
      </w:r>
      <w:r>
        <w:fldChar w:fldCharType="end"/>
      </w:r>
    </w:p>
    <w:p>
      <w:pPr>
        <w:pStyle w:val="30"/>
        <w:tabs>
          <w:tab w:val="right" w:leader="dot" w:pos="9184"/>
        </w:tabs>
        <w:ind w:left="560"/>
      </w:pPr>
      <w:r>
        <w:fldChar w:fldCharType="begin"/>
      </w:r>
      <w:r>
        <w:instrText xml:space="preserve"> HYPERLINK \l "_Toc1105" </w:instrText>
      </w:r>
      <w:r>
        <w:fldChar w:fldCharType="separate"/>
      </w:r>
      <w:r>
        <w:rPr>
          <w:rFonts w:hint="eastAsia"/>
        </w:rPr>
        <w:t>七、服务承诺书</w:t>
      </w:r>
      <w:r>
        <w:tab/>
      </w:r>
      <w:r>
        <w:fldChar w:fldCharType="begin"/>
      </w:r>
      <w:r>
        <w:instrText xml:space="preserve"> PAGEREF _Toc1105 \h </w:instrText>
      </w:r>
      <w:r>
        <w:fldChar w:fldCharType="separate"/>
      </w:r>
      <w:r>
        <w:t>51</w:t>
      </w:r>
      <w:r>
        <w:fldChar w:fldCharType="end"/>
      </w:r>
      <w:r>
        <w:fldChar w:fldCharType="end"/>
      </w:r>
    </w:p>
    <w:p>
      <w:pPr>
        <w:pStyle w:val="30"/>
        <w:tabs>
          <w:tab w:val="right" w:leader="dot" w:pos="9184"/>
        </w:tabs>
        <w:ind w:left="560"/>
      </w:pPr>
      <w:r>
        <w:fldChar w:fldCharType="begin"/>
      </w:r>
      <w:r>
        <w:instrText xml:space="preserve"> HYPERLINK \l "_Toc18546" </w:instrText>
      </w:r>
      <w:r>
        <w:fldChar w:fldCharType="separate"/>
      </w:r>
      <w:r>
        <w:rPr>
          <w:rFonts w:hint="eastAsia"/>
        </w:rPr>
        <w:t>八、服务方案及人员配置方案</w:t>
      </w:r>
      <w:r>
        <w:tab/>
      </w:r>
      <w:r>
        <w:fldChar w:fldCharType="begin"/>
      </w:r>
      <w:r>
        <w:instrText xml:space="preserve"> PAGEREF _Toc18546 \h </w:instrText>
      </w:r>
      <w:r>
        <w:fldChar w:fldCharType="separate"/>
      </w:r>
      <w:r>
        <w:t>52</w:t>
      </w:r>
      <w:r>
        <w:fldChar w:fldCharType="end"/>
      </w:r>
      <w:r>
        <w:fldChar w:fldCharType="end"/>
      </w:r>
    </w:p>
    <w:p>
      <w:pPr>
        <w:pStyle w:val="17"/>
        <w:tabs>
          <w:tab w:val="right" w:leader="dot" w:pos="9184"/>
        </w:tabs>
        <w:ind w:left="1120"/>
      </w:pPr>
      <w:r>
        <w:fldChar w:fldCharType="begin"/>
      </w:r>
      <w:r>
        <w:instrText xml:space="preserve"> HYPERLINK \l "_Toc15768" </w:instrText>
      </w:r>
      <w:r>
        <w:fldChar w:fldCharType="separate"/>
      </w:r>
      <w:r>
        <w:rPr>
          <w:rFonts w:hint="eastAsia"/>
        </w:rPr>
        <w:t>附表一：</w:t>
      </w:r>
      <w:r>
        <w:t>本单位拟投入本项目</w:t>
      </w:r>
      <w:r>
        <w:rPr>
          <w:rFonts w:hint="eastAsia"/>
        </w:rPr>
        <w:t>的主要专业人员</w:t>
      </w:r>
      <w:r>
        <w:t>情况表</w:t>
      </w:r>
      <w:r>
        <w:tab/>
      </w:r>
      <w:r>
        <w:fldChar w:fldCharType="begin"/>
      </w:r>
      <w:r>
        <w:instrText xml:space="preserve"> PAGEREF _Toc15768 \h </w:instrText>
      </w:r>
      <w:r>
        <w:fldChar w:fldCharType="separate"/>
      </w:r>
      <w:r>
        <w:t>53</w:t>
      </w:r>
      <w:r>
        <w:fldChar w:fldCharType="end"/>
      </w:r>
      <w:r>
        <w:fldChar w:fldCharType="end"/>
      </w:r>
    </w:p>
    <w:p>
      <w:pPr>
        <w:pStyle w:val="17"/>
        <w:tabs>
          <w:tab w:val="right" w:leader="dot" w:pos="9184"/>
        </w:tabs>
        <w:ind w:left="1120"/>
      </w:pPr>
      <w:r>
        <w:fldChar w:fldCharType="begin"/>
      </w:r>
      <w:r>
        <w:instrText xml:space="preserve"> HYPERLINK \l "_Toc25463" </w:instrText>
      </w:r>
      <w:r>
        <w:fldChar w:fldCharType="separate"/>
      </w:r>
      <w:r>
        <w:rPr>
          <w:rFonts w:hint="eastAsia"/>
        </w:rPr>
        <w:t>附表二：</w:t>
      </w:r>
      <w:r>
        <w:t>本单位拟投入本</w:t>
      </w:r>
      <w:r>
        <w:rPr>
          <w:rFonts w:hint="eastAsia"/>
        </w:rPr>
        <w:t>次项目的其他</w:t>
      </w:r>
      <w:r>
        <w:t>人员一览表</w:t>
      </w:r>
      <w:r>
        <w:tab/>
      </w:r>
      <w:r>
        <w:fldChar w:fldCharType="begin"/>
      </w:r>
      <w:r>
        <w:instrText xml:space="preserve"> PAGEREF _Toc25463 \h </w:instrText>
      </w:r>
      <w:r>
        <w:fldChar w:fldCharType="separate"/>
      </w:r>
      <w:r>
        <w:t>54</w:t>
      </w:r>
      <w:r>
        <w:fldChar w:fldCharType="end"/>
      </w:r>
      <w:r>
        <w:fldChar w:fldCharType="end"/>
      </w:r>
    </w:p>
    <w:p>
      <w:pPr>
        <w:pStyle w:val="30"/>
        <w:tabs>
          <w:tab w:val="right" w:leader="dot" w:pos="9184"/>
        </w:tabs>
        <w:ind w:left="560"/>
      </w:pPr>
      <w:r>
        <w:fldChar w:fldCharType="begin"/>
      </w:r>
      <w:r>
        <w:instrText xml:space="preserve"> HYPERLINK \l "_Toc17427" </w:instrText>
      </w:r>
      <w:r>
        <w:fldChar w:fldCharType="separate"/>
      </w:r>
      <w:r>
        <w:rPr>
          <w:rFonts w:hint="eastAsia"/>
        </w:rPr>
        <w:t>九、其 他</w:t>
      </w:r>
      <w:r>
        <w:tab/>
      </w:r>
      <w:r>
        <w:fldChar w:fldCharType="begin"/>
      </w:r>
      <w:r>
        <w:instrText xml:space="preserve"> PAGEREF _Toc17427 \h </w:instrText>
      </w:r>
      <w:r>
        <w:fldChar w:fldCharType="separate"/>
      </w:r>
      <w:r>
        <w:t>55</w:t>
      </w:r>
      <w:r>
        <w:fldChar w:fldCharType="end"/>
      </w:r>
      <w:r>
        <w:fldChar w:fldCharType="end"/>
      </w:r>
    </w:p>
    <w:p>
      <w:pPr>
        <w:pStyle w:val="17"/>
        <w:tabs>
          <w:tab w:val="right" w:leader="dot" w:pos="9184"/>
        </w:tabs>
        <w:ind w:left="1120"/>
      </w:pPr>
      <w:r>
        <w:fldChar w:fldCharType="begin"/>
      </w:r>
      <w:r>
        <w:instrText xml:space="preserve"> HYPERLINK \l "_Toc17672" </w:instrText>
      </w:r>
      <w:r>
        <w:fldChar w:fldCharType="separate"/>
      </w:r>
      <w:r>
        <w:rPr>
          <w:rFonts w:hint="eastAsia"/>
        </w:rPr>
        <w:t>供应商基本情况表</w:t>
      </w:r>
      <w:r>
        <w:tab/>
      </w:r>
      <w:r>
        <w:fldChar w:fldCharType="begin"/>
      </w:r>
      <w:r>
        <w:instrText xml:space="preserve"> PAGEREF _Toc17672 \h </w:instrText>
      </w:r>
      <w:r>
        <w:fldChar w:fldCharType="separate"/>
      </w:r>
      <w:r>
        <w:t>55</w:t>
      </w:r>
      <w:r>
        <w:fldChar w:fldCharType="end"/>
      </w:r>
      <w:r>
        <w:fldChar w:fldCharType="end"/>
      </w:r>
    </w:p>
    <w:p>
      <w:pPr>
        <w:pStyle w:val="30"/>
        <w:tabs>
          <w:tab w:val="right" w:leader="dot" w:pos="9184"/>
        </w:tabs>
        <w:ind w:left="560"/>
      </w:pPr>
      <w:r>
        <w:fldChar w:fldCharType="begin"/>
      </w:r>
      <w:r>
        <w:instrText xml:space="preserve"> HYPERLINK \l "_Toc19836" </w:instrText>
      </w:r>
      <w:r>
        <w:fldChar w:fldCharType="separate"/>
      </w:r>
      <w:r>
        <w:rPr>
          <w:rFonts w:hint="eastAsia"/>
        </w:rPr>
        <w:t>十、供应商需说明的其它问题</w:t>
      </w:r>
      <w:r>
        <w:tab/>
      </w:r>
      <w:r>
        <w:fldChar w:fldCharType="begin"/>
      </w:r>
      <w:r>
        <w:instrText xml:space="preserve"> PAGEREF _Toc19836 \h </w:instrText>
      </w:r>
      <w:r>
        <w:fldChar w:fldCharType="separate"/>
      </w:r>
      <w:r>
        <w:t>56</w:t>
      </w:r>
      <w:r>
        <w:fldChar w:fldCharType="end"/>
      </w:r>
      <w:r>
        <w:fldChar w:fldCharType="end"/>
      </w:r>
    </w:p>
    <w:p>
      <w:r>
        <w:rPr>
          <w:bCs/>
          <w:caps/>
        </w:rPr>
        <w:fldChar w:fldCharType="end"/>
      </w:r>
    </w:p>
    <w:p/>
    <w:p/>
    <w:p>
      <w:pPr>
        <w:sectPr>
          <w:footerReference r:id="rId12" w:type="first"/>
          <w:footerReference r:id="rId11" w:type="default"/>
          <w:pgSz w:w="11906" w:h="16838"/>
          <w:pgMar w:top="1418" w:right="1361" w:bottom="1361" w:left="1361" w:header="851" w:footer="992" w:gutter="0"/>
          <w:pgNumType w:fmt="numberInDash" w:start="1"/>
          <w:cols w:space="720" w:num="1"/>
          <w:titlePg/>
          <w:docGrid w:type="lines" w:linePitch="312" w:charSpace="0"/>
        </w:sectPr>
      </w:pPr>
    </w:p>
    <w:p>
      <w:pPr>
        <w:ind w:firstLine="0" w:firstLineChars="0"/>
        <w:jc w:val="center"/>
        <w:rPr>
          <w:rFonts w:cs="宋体"/>
          <w:b/>
          <w:bCs/>
          <w:sz w:val="44"/>
          <w:szCs w:val="44"/>
        </w:rPr>
      </w:pPr>
      <w:bookmarkStart w:id="0" w:name="_Toc492566131"/>
      <w:r>
        <w:rPr>
          <w:rFonts w:hint="eastAsia" w:cs="宋体"/>
          <w:b/>
          <w:bCs/>
          <w:sz w:val="44"/>
          <w:szCs w:val="44"/>
        </w:rPr>
        <w:t>海南自由贸易港船员考试英文题库建设项目</w:t>
      </w:r>
    </w:p>
    <w:p>
      <w:pPr>
        <w:ind w:firstLine="0" w:firstLineChars="0"/>
        <w:jc w:val="center"/>
        <w:rPr>
          <w:rFonts w:cs="宋体"/>
          <w:b/>
          <w:bCs/>
          <w:sz w:val="44"/>
          <w:szCs w:val="44"/>
        </w:rPr>
      </w:pPr>
      <w:r>
        <w:rPr>
          <w:rFonts w:hint="eastAsia" w:cs="宋体"/>
          <w:b/>
          <w:bCs/>
          <w:sz w:val="44"/>
          <w:szCs w:val="44"/>
        </w:rPr>
        <w:t>竞争性谈判公告</w:t>
      </w:r>
      <w:bookmarkEnd w:id="0"/>
    </w:p>
    <w:p/>
    <w:p>
      <w:pPr>
        <w:spacing w:line="360" w:lineRule="auto"/>
      </w:pPr>
      <w:r>
        <w:rPr>
          <w:rFonts w:hint="eastAsia"/>
        </w:rPr>
        <w:t>海南自由贸易港船员考试英文题库建设项目已批准采购，采购单位为中华人民共和国海南海事局，现对该项目进行竞争性谈判采购，</w:t>
      </w:r>
      <w:r>
        <w:rPr>
          <w:rFonts w:hint="eastAsia" w:cs="宋体"/>
          <w:kern w:val="0"/>
        </w:rPr>
        <w:t>欢迎符合资格条件的供应商报名参加竞标</w:t>
      </w:r>
      <w:r>
        <w:rPr>
          <w:rFonts w:hint="eastAsia"/>
        </w:rPr>
        <w:t>。</w:t>
      </w:r>
    </w:p>
    <w:p>
      <w:pPr>
        <w:spacing w:line="360" w:lineRule="auto"/>
        <w:ind w:firstLine="562"/>
        <w:rPr>
          <w:b/>
        </w:rPr>
      </w:pPr>
      <w:r>
        <w:rPr>
          <w:rFonts w:hint="eastAsia"/>
          <w:b/>
        </w:rPr>
        <w:t>一、项目名称：海南自由贸易港船员考试英文题库建设项目</w:t>
      </w:r>
    </w:p>
    <w:p>
      <w:pPr>
        <w:spacing w:line="360" w:lineRule="auto"/>
        <w:ind w:firstLine="562"/>
        <w:rPr>
          <w:b/>
        </w:rPr>
      </w:pPr>
      <w:r>
        <w:rPr>
          <w:rFonts w:hint="eastAsia"/>
          <w:b/>
        </w:rPr>
        <w:t>二、项目概况：</w:t>
      </w:r>
    </w:p>
    <w:p>
      <w:pPr>
        <w:spacing w:line="360" w:lineRule="auto"/>
      </w:pPr>
      <w:r>
        <w:rPr>
          <w:rFonts w:hint="eastAsia"/>
          <w:lang w:eastAsia="zh-CN"/>
        </w:rPr>
        <w:t>为落实海南</w:t>
      </w:r>
      <w:r>
        <w:rPr>
          <w:rFonts w:hint="eastAsia"/>
        </w:rPr>
        <w:t>自由贸易港</w:t>
      </w:r>
      <w:r>
        <w:rPr>
          <w:rFonts w:hint="eastAsia"/>
          <w:lang w:eastAsia="zh-CN"/>
        </w:rPr>
        <w:t>建设国家战略的重要举措，实现</w:t>
      </w:r>
      <w:r>
        <w:t>外国籍</w:t>
      </w:r>
      <w:r>
        <w:rPr>
          <w:rFonts w:hint="eastAsia"/>
          <w:lang w:eastAsia="zh-CN"/>
        </w:rPr>
        <w:t>人员参加海南</w:t>
      </w:r>
      <w:r>
        <w:rPr>
          <w:rFonts w:hint="eastAsia"/>
        </w:rPr>
        <w:t>自由贸易港</w:t>
      </w:r>
      <w:r>
        <w:rPr>
          <w:rFonts w:hint="eastAsia"/>
          <w:lang w:eastAsia="zh-CN"/>
        </w:rPr>
        <w:t>船员培训、考试，需建设海南</w:t>
      </w:r>
      <w:r>
        <w:rPr>
          <w:rFonts w:hint="eastAsia"/>
        </w:rPr>
        <w:t>自由贸易港</w:t>
      </w:r>
      <w:r>
        <w:rPr>
          <w:rFonts w:hint="eastAsia"/>
          <w:lang w:eastAsia="zh-CN"/>
        </w:rPr>
        <w:t>船员考试英文题库及相关系统。</w:t>
      </w:r>
      <w:r>
        <w:rPr>
          <w:rFonts w:hint="eastAsia"/>
        </w:rPr>
        <w:t>采购海南自由贸易港船员考试英文题库建设服务，通过建立既符合外国籍船员特征，又能够满足国家和海南海事局辖区内船员任职标准的题库，同时配套与国家船员考试系统和船员管理系统衔接的外国籍船员考试系统，确保外国籍船员达到我国有关法律法规、</w:t>
      </w:r>
      <w:r>
        <w:t>国际公约的基本要求和符合航运市场的需要</w:t>
      </w:r>
      <w:r>
        <w:rPr>
          <w:rFonts w:hint="eastAsia"/>
        </w:rPr>
        <w:t>。</w:t>
      </w:r>
    </w:p>
    <w:p>
      <w:pPr>
        <w:spacing w:line="360" w:lineRule="auto"/>
      </w:pPr>
      <w:r>
        <w:rPr>
          <w:rFonts w:hint="eastAsia"/>
        </w:rPr>
        <w:t>海南自由贸易港船员考试英文题库建设按照适用对象包括适任考试和合格证考试。每个适用对象根据适任要求的需要，又分成若干考试科目。主要包括值班水手、值班机工、基本安全培训合格证、客船船员特殊培训合格证、保安意识培训合格证等。</w:t>
      </w:r>
    </w:p>
    <w:p>
      <w:pPr>
        <w:spacing w:line="360" w:lineRule="auto"/>
        <w:ind w:firstLine="562"/>
        <w:rPr>
          <w:b/>
        </w:rPr>
      </w:pPr>
      <w:r>
        <w:rPr>
          <w:rFonts w:hint="eastAsia"/>
          <w:b/>
        </w:rPr>
        <w:t>三、竞标内容：</w:t>
      </w:r>
    </w:p>
    <w:p>
      <w:pPr>
        <w:spacing w:line="360" w:lineRule="auto"/>
      </w:pPr>
      <w:r>
        <w:rPr>
          <w:rFonts w:hint="eastAsia"/>
        </w:rPr>
        <w:t>根据项目的建设目标、业务需求和质量标准，依据有关法律法规、</w:t>
      </w:r>
      <w:r>
        <w:t>国家相关规范以</w:t>
      </w:r>
      <w:r>
        <w:rPr>
          <w:rFonts w:hint="eastAsia"/>
        </w:rPr>
        <w:t>及招标文件</w:t>
      </w:r>
      <w:r>
        <w:t>要求</w:t>
      </w:r>
      <w:r>
        <w:rPr>
          <w:rFonts w:hint="eastAsia"/>
        </w:rPr>
        <w:t>，开展外国籍船员考试题库建设（内容包括大纲解析、试题编写、试题审定、试题入库，以及考试核心软件改造和维护，协助采购</w:t>
      </w:r>
      <w:r>
        <w:t>人</w:t>
      </w:r>
      <w:r>
        <w:rPr>
          <w:rFonts w:hint="eastAsia"/>
        </w:rPr>
        <w:t>协调服务对象等有关各方关系，保证项目按照时间要求、质量要求、在预算范围内完成，保证外国籍船员考试各项工作顺利开展，并满足未来外国籍船员考试发展的需要。</w:t>
      </w:r>
    </w:p>
    <w:p>
      <w:pPr>
        <w:spacing w:line="360" w:lineRule="auto"/>
      </w:pPr>
      <w:r>
        <w:rPr>
          <w:rFonts w:hint="eastAsia"/>
        </w:rPr>
        <w:t>具体详见竞标采购文件服务要求。</w:t>
      </w:r>
    </w:p>
    <w:p>
      <w:pPr>
        <w:spacing w:line="360" w:lineRule="auto"/>
        <w:ind w:firstLine="562"/>
      </w:pPr>
      <w:r>
        <w:rPr>
          <w:rFonts w:hint="eastAsia"/>
          <w:b/>
        </w:rPr>
        <w:t>四、供应商的资格要求：</w:t>
      </w:r>
    </w:p>
    <w:p>
      <w:pPr>
        <w:spacing w:line="360" w:lineRule="auto"/>
      </w:pPr>
      <w:r>
        <w:rPr>
          <w:rFonts w:hint="eastAsia"/>
        </w:rPr>
        <w:t>1、供应商应具备政府采购法第二十二条规定的条件：</w:t>
      </w:r>
    </w:p>
    <w:p>
      <w:pPr>
        <w:spacing w:line="360" w:lineRule="auto"/>
        <w:rPr>
          <w:rFonts w:cs="宋体"/>
          <w:kern w:val="0"/>
          <w:szCs w:val="21"/>
        </w:rPr>
      </w:pPr>
      <w:r>
        <w:rPr>
          <w:rFonts w:cs="宋体"/>
          <w:kern w:val="0"/>
          <w:szCs w:val="21"/>
        </w:rPr>
        <w:t>（</w:t>
      </w:r>
      <w:r>
        <w:rPr>
          <w:rFonts w:hint="eastAsia" w:cs="宋体"/>
          <w:kern w:val="0"/>
          <w:szCs w:val="21"/>
        </w:rPr>
        <w:t>1</w:t>
      </w:r>
      <w:r>
        <w:rPr>
          <w:rFonts w:cs="宋体"/>
          <w:kern w:val="0"/>
          <w:szCs w:val="21"/>
        </w:rPr>
        <w:t>）</w:t>
      </w:r>
      <w:r>
        <w:rPr>
          <w:rFonts w:hint="eastAsia" w:cs="宋体"/>
          <w:kern w:val="0"/>
          <w:szCs w:val="21"/>
        </w:rPr>
        <w:t>供应商须为中国境内注册的独立企业法人或其他组织，</w:t>
      </w:r>
      <w:r>
        <w:t>拥有合法经营</w:t>
      </w:r>
      <w:r>
        <w:rPr>
          <w:rFonts w:hint="eastAsia"/>
        </w:rPr>
        <w:t>权利</w:t>
      </w:r>
      <w:r>
        <w:t>，符合国家有关规定，具有独立承担民事责任的能力</w:t>
      </w:r>
      <w:r>
        <w:rPr>
          <w:rFonts w:hint="eastAsia"/>
        </w:rPr>
        <w:t>；</w:t>
      </w:r>
    </w:p>
    <w:p>
      <w:pPr>
        <w:spacing w:line="360" w:lineRule="auto"/>
      </w:pPr>
      <w:r>
        <w:t>（</w:t>
      </w:r>
      <w:r>
        <w:rPr>
          <w:rFonts w:hint="eastAsia"/>
        </w:rPr>
        <w:t>2</w:t>
      </w:r>
      <w:r>
        <w:t>）具有良好的商业信誉和健全的</w:t>
      </w:r>
      <w:r>
        <w:fldChar w:fldCharType="begin"/>
      </w:r>
      <w:r>
        <w:instrText xml:space="preserve"> HYPERLINK "https://baike.baidu.com/item/%E8%B4%A2%E5%8A%A1%E4%BC%9A%E8%AE%A1%E5%88%B6%E5%BA%A6" \t "_blank" </w:instrText>
      </w:r>
      <w:r>
        <w:fldChar w:fldCharType="separate"/>
      </w:r>
      <w:r>
        <w:t>财务会计制度</w:t>
      </w:r>
      <w:r>
        <w:fldChar w:fldCharType="end"/>
      </w:r>
      <w:r>
        <w:t>；</w:t>
      </w:r>
    </w:p>
    <w:p>
      <w:pPr>
        <w:spacing w:line="360" w:lineRule="auto"/>
      </w:pPr>
      <w:r>
        <w:t>（</w:t>
      </w:r>
      <w:r>
        <w:rPr>
          <w:rFonts w:hint="eastAsia"/>
        </w:rPr>
        <w:t>3</w:t>
      </w:r>
      <w:r>
        <w:t>）具有履行合同所必需的设备和专业技术能力；</w:t>
      </w:r>
    </w:p>
    <w:p>
      <w:pPr>
        <w:spacing w:line="360" w:lineRule="auto"/>
      </w:pPr>
      <w:r>
        <w:t>（</w:t>
      </w:r>
      <w:r>
        <w:rPr>
          <w:rFonts w:hint="eastAsia"/>
        </w:rPr>
        <w:t>4</w:t>
      </w:r>
      <w:r>
        <w:t>）有依法缴纳税收和社会保障资金的良好记录；</w:t>
      </w:r>
    </w:p>
    <w:p>
      <w:pPr>
        <w:spacing w:line="360" w:lineRule="auto"/>
      </w:pPr>
      <w:r>
        <w:t>（</w:t>
      </w:r>
      <w:r>
        <w:rPr>
          <w:rFonts w:hint="eastAsia"/>
        </w:rPr>
        <w:t>5</w:t>
      </w:r>
      <w:r>
        <w:t>）参加政府采购活动前三年内，在经营活动中没有重大违法记录；</w:t>
      </w:r>
    </w:p>
    <w:p>
      <w:pPr>
        <w:spacing w:line="360" w:lineRule="auto"/>
        <w:rPr>
          <w:rFonts w:cs="宋体"/>
          <w:kern w:val="0"/>
          <w:szCs w:val="21"/>
        </w:rPr>
      </w:pPr>
      <w:r>
        <w:t>（</w:t>
      </w:r>
      <w:r>
        <w:rPr>
          <w:rFonts w:hint="eastAsia"/>
        </w:rPr>
        <w:t>6</w:t>
      </w:r>
      <w:r>
        <w:t>）法律、行政法规规定的其他条件。</w:t>
      </w:r>
    </w:p>
    <w:p>
      <w:pPr>
        <w:spacing w:line="360" w:lineRule="auto"/>
      </w:pPr>
      <w:r>
        <w:rPr>
          <w:rFonts w:hint="eastAsia"/>
        </w:rPr>
        <w:t>2、经查询信用信息存在不良信用记录的不得参加本采购项目。</w:t>
      </w:r>
    </w:p>
    <w:p>
      <w:pPr>
        <w:spacing w:line="360" w:lineRule="auto"/>
      </w:pPr>
      <w:r>
        <w:rPr>
          <w:rFonts w:hint="eastAsia"/>
        </w:rPr>
        <w:t>（1）</w:t>
      </w:r>
      <w:r>
        <w:rPr>
          <w:rFonts w:hint="eastAsia" w:cs="宋体"/>
          <w:kern w:val="0"/>
        </w:rPr>
        <w:t>信用信息查询渠道：“中国政府采购网”(www.ccgp.gov.cn)政府采购严重违法失信行为信息记录</w:t>
      </w:r>
      <w:r>
        <w:rPr>
          <w:rFonts w:hint="eastAsia" w:cs="宋体"/>
          <w:kern w:val="0"/>
          <w:sz w:val="24"/>
          <w:szCs w:val="21"/>
        </w:rPr>
        <w:t>。</w:t>
      </w:r>
    </w:p>
    <w:p>
      <w:pPr>
        <w:spacing w:line="360" w:lineRule="auto"/>
      </w:pPr>
      <w:r>
        <w:rPr>
          <w:rFonts w:hint="eastAsia"/>
        </w:rPr>
        <w:t>（2）信用信息查询截止时点：不早于2022年6月13日。</w:t>
      </w:r>
    </w:p>
    <w:p>
      <w:pPr>
        <w:spacing w:line="360" w:lineRule="auto"/>
      </w:pPr>
      <w:r>
        <w:rPr>
          <w:rFonts w:hint="eastAsia"/>
        </w:rPr>
        <w:t>（3）信用信息查询记录和证据留存方式：截屏等可实现留痕的方式。</w:t>
      </w:r>
    </w:p>
    <w:p>
      <w:pPr>
        <w:spacing w:line="360" w:lineRule="auto"/>
      </w:pPr>
      <w:r>
        <w:rPr>
          <w:rFonts w:hint="eastAsia"/>
        </w:rPr>
        <w:t>（4）信用信息使用规则：对于经查询信用信息存在不良信用记录的供应商，谈判小组应取消其响应资格。</w:t>
      </w:r>
    </w:p>
    <w:p>
      <w:pPr>
        <w:spacing w:line="360" w:lineRule="auto"/>
      </w:pPr>
      <w:r>
        <w:rPr>
          <w:rFonts w:hint="eastAsia"/>
        </w:rPr>
        <w:t>3、投标人应具备考试题库建设所需的专业技术能力、信息系统建设和服务能力，熟悉考试题库建设和考试日常实施程序，了解全国船员考试系统功能、与关联系统间的数据接口类型和标准。</w:t>
      </w:r>
    </w:p>
    <w:p>
      <w:pPr>
        <w:spacing w:line="360" w:lineRule="auto"/>
      </w:pPr>
      <w:r>
        <w:rPr>
          <w:rFonts w:hint="eastAsia"/>
        </w:rPr>
        <w:t>4、本项目不接受联合体响应；</w:t>
      </w:r>
    </w:p>
    <w:p>
      <w:pPr>
        <w:spacing w:line="360" w:lineRule="auto"/>
        <w:rPr>
          <w:snapToGrid w:val="0"/>
        </w:rPr>
      </w:pPr>
      <w:r>
        <w:rPr>
          <w:rFonts w:hint="eastAsia" w:cs="宋体"/>
          <w:szCs w:val="21"/>
        </w:rPr>
        <w:t>5、</w:t>
      </w:r>
      <w:r>
        <w:rPr>
          <w:rFonts w:hint="eastAsia"/>
          <w:snapToGrid w:val="0"/>
        </w:rPr>
        <w:t>其他要求：</w:t>
      </w:r>
    </w:p>
    <w:p>
      <w:pPr>
        <w:spacing w:line="360" w:lineRule="auto"/>
      </w:pPr>
      <w:r>
        <w:rPr>
          <w:rFonts w:hint="eastAsia"/>
          <w:kern w:val="0"/>
          <w:szCs w:val="21"/>
        </w:rPr>
        <w:t>（1）</w:t>
      </w:r>
      <w:r>
        <w:rPr>
          <w:rFonts w:hint="eastAsia"/>
        </w:rPr>
        <w:t>单位负责人为同一人或者存在控股、管理关系的不同单位，不得参加同一标段投标或者未划分标段的同一招标项目投标；</w:t>
      </w:r>
    </w:p>
    <w:p>
      <w:pPr>
        <w:spacing w:line="360" w:lineRule="auto"/>
      </w:pPr>
      <w:r>
        <w:rPr>
          <w:rFonts w:hint="eastAsia"/>
          <w:kern w:val="0"/>
          <w:szCs w:val="21"/>
        </w:rPr>
        <w:t>（2）</w:t>
      </w:r>
      <w:r>
        <w:rPr>
          <w:rFonts w:hint="eastAsia"/>
        </w:rPr>
        <w:t>与招标人存在利害关系可能影响招标公正性的法人、其他组织或者个人，不得参加投标。</w:t>
      </w:r>
    </w:p>
    <w:p>
      <w:pPr>
        <w:spacing w:line="360" w:lineRule="auto"/>
        <w:ind w:firstLine="562"/>
        <w:rPr>
          <w:b/>
        </w:rPr>
      </w:pPr>
      <w:r>
        <w:rPr>
          <w:rFonts w:hint="eastAsia"/>
          <w:b/>
        </w:rPr>
        <w:t>五、报名要求：</w:t>
      </w:r>
    </w:p>
    <w:p>
      <w:pPr>
        <w:spacing w:line="360" w:lineRule="auto"/>
        <w:ind w:firstLine="562"/>
      </w:pPr>
      <w:r>
        <w:rPr>
          <w:rFonts w:hint="eastAsia"/>
          <w:b/>
          <w:bCs/>
        </w:rPr>
        <w:t>时间：</w:t>
      </w:r>
      <w:r>
        <w:rPr>
          <w:rFonts w:hint="eastAsia"/>
          <w:color w:val="auto"/>
        </w:rPr>
        <w:t>2022年6月13日至 2022年6月15日</w:t>
      </w:r>
      <w:r>
        <w:rPr>
          <w:rFonts w:hint="eastAsia"/>
        </w:rPr>
        <w:t>，每天上午9:00至11:30</w:t>
      </w:r>
      <w:r>
        <w:rPr>
          <w:rFonts w:hint="eastAsia"/>
          <w:lang w:eastAsia="zh-CN"/>
        </w:rPr>
        <w:t>时</w:t>
      </w:r>
      <w:r>
        <w:rPr>
          <w:rFonts w:hint="eastAsia"/>
        </w:rPr>
        <w:t>，下午13:00至16:00</w:t>
      </w:r>
      <w:r>
        <w:rPr>
          <w:rFonts w:hint="eastAsia"/>
          <w:lang w:eastAsia="zh-CN"/>
        </w:rPr>
        <w:t>时</w:t>
      </w:r>
      <w:r>
        <w:rPr>
          <w:rFonts w:hint="eastAsia"/>
        </w:rPr>
        <w:t>。（北京时间）</w:t>
      </w:r>
    </w:p>
    <w:p>
      <w:pPr>
        <w:spacing w:line="360" w:lineRule="auto"/>
        <w:ind w:firstLine="562"/>
      </w:pPr>
      <w:r>
        <w:rPr>
          <w:rFonts w:hint="eastAsia"/>
          <w:b/>
          <w:bCs/>
        </w:rPr>
        <w:t>地点：</w:t>
      </w:r>
      <w:r>
        <w:rPr>
          <w:rFonts w:hint="eastAsia"/>
        </w:rPr>
        <w:t>中华人民共和国海南海事局（海口市秀英区滨海大道137号）</w:t>
      </w:r>
    </w:p>
    <w:p>
      <w:pPr>
        <w:spacing w:line="360" w:lineRule="auto"/>
        <w:ind w:firstLine="562"/>
      </w:pPr>
      <w:r>
        <w:rPr>
          <w:rFonts w:hint="eastAsia"/>
          <w:b/>
          <w:bCs/>
        </w:rPr>
        <w:t>方式：</w:t>
      </w:r>
      <w:r>
        <w:rPr>
          <w:rFonts w:hint="eastAsia"/>
        </w:rPr>
        <w:t>本项目采用线上报名的方式，不接受现场报名，供应商须将以下报名资料扫描件（加盖公章）一套发送至</w:t>
      </w:r>
      <w:r>
        <w:rPr>
          <w:rFonts w:hint="eastAsia"/>
          <w:lang w:eastAsia="zh-CN"/>
        </w:rPr>
        <w:t>邮箱</w:t>
      </w:r>
      <w:r>
        <w:rPr>
          <w:rFonts w:hint="eastAsia"/>
          <w:lang w:val="en-US" w:eastAsia="zh-CN"/>
        </w:rPr>
        <w:t>:13807562270@163.com</w:t>
      </w:r>
      <w:r>
        <w:rPr>
          <w:rFonts w:hint="eastAsia"/>
        </w:rPr>
        <w:t>（1）供应商报名表（格式自拟，内容为项目名称、供应商单位名称、联系人、联系方式、电子邮箱等）；（2）营业执照（三证合一）或事业单位法人证书复印件加盖公章；（3）单位负责人授权委托书原件（复印件需加盖公章）。</w:t>
      </w:r>
    </w:p>
    <w:p>
      <w:pPr>
        <w:spacing w:line="360" w:lineRule="auto"/>
        <w:ind w:firstLine="562"/>
        <w:rPr>
          <w:b/>
        </w:rPr>
      </w:pPr>
      <w:r>
        <w:rPr>
          <w:rFonts w:hint="eastAsia"/>
          <w:b/>
        </w:rPr>
        <w:t>六、竞标响应文件递交：</w:t>
      </w:r>
    </w:p>
    <w:p>
      <w:pPr>
        <w:spacing w:line="360" w:lineRule="auto"/>
        <w:rPr>
          <w:bCs/>
        </w:rPr>
      </w:pPr>
      <w:r>
        <w:rPr>
          <w:rFonts w:hint="eastAsia"/>
          <w:bCs/>
        </w:rPr>
        <w:t>截止时间：</w:t>
      </w:r>
      <w:r>
        <w:rPr>
          <w:rFonts w:hint="eastAsia"/>
          <w:bCs/>
          <w:color w:val="auto"/>
          <w:highlight w:val="none"/>
        </w:rPr>
        <w:t>2022年6月2</w:t>
      </w:r>
      <w:r>
        <w:rPr>
          <w:bCs/>
          <w:color w:val="auto"/>
          <w:highlight w:val="none"/>
        </w:rPr>
        <w:t>1</w:t>
      </w:r>
      <w:r>
        <w:rPr>
          <w:rFonts w:hint="eastAsia"/>
          <w:bCs/>
          <w:color w:val="auto"/>
          <w:highlight w:val="none"/>
        </w:rPr>
        <w:t>日1</w:t>
      </w:r>
      <w:r>
        <w:rPr>
          <w:bCs/>
          <w:color w:val="auto"/>
          <w:highlight w:val="none"/>
        </w:rPr>
        <w:t>2</w:t>
      </w:r>
      <w:r>
        <w:rPr>
          <w:rFonts w:hint="eastAsia"/>
          <w:bCs/>
          <w:color w:val="auto"/>
          <w:highlight w:val="none"/>
        </w:rPr>
        <w:t>:</w:t>
      </w:r>
      <w:r>
        <w:rPr>
          <w:bCs/>
          <w:color w:val="auto"/>
          <w:highlight w:val="none"/>
        </w:rPr>
        <w:t>0</w:t>
      </w:r>
      <w:r>
        <w:rPr>
          <w:rFonts w:hint="eastAsia"/>
          <w:bCs/>
          <w:color w:val="auto"/>
          <w:highlight w:val="none"/>
        </w:rPr>
        <w:t>0时（北京时间）</w:t>
      </w:r>
      <w:r>
        <w:rPr>
          <w:rFonts w:hint="eastAsia"/>
          <w:bCs/>
          <w:color w:val="auto"/>
        </w:rPr>
        <w:t>，</w:t>
      </w:r>
      <w:r>
        <w:rPr>
          <w:rFonts w:hint="eastAsia"/>
          <w:bCs/>
        </w:rPr>
        <w:t>递交地址：中华人民共和国海南海事局（地址：海口市秀英区滨海大道137号）。</w:t>
      </w:r>
    </w:p>
    <w:p>
      <w:pPr>
        <w:spacing w:line="360" w:lineRule="auto"/>
        <w:ind w:firstLine="562"/>
      </w:pPr>
      <w:r>
        <w:rPr>
          <w:rFonts w:hint="eastAsia"/>
          <w:b/>
        </w:rPr>
        <w:t>七、开标时间与地点：</w:t>
      </w:r>
      <w:r>
        <w:rPr>
          <w:rFonts w:hint="eastAsia"/>
          <w:highlight w:val="none"/>
        </w:rPr>
        <w:t>20</w:t>
      </w:r>
      <w:r>
        <w:rPr>
          <w:highlight w:val="none"/>
        </w:rPr>
        <w:t>22</w:t>
      </w:r>
      <w:r>
        <w:rPr>
          <w:rFonts w:hint="eastAsia"/>
          <w:highlight w:val="none"/>
        </w:rPr>
        <w:t>年6月2</w:t>
      </w:r>
      <w:r>
        <w:rPr>
          <w:highlight w:val="none"/>
        </w:rPr>
        <w:t>1</w:t>
      </w:r>
      <w:r>
        <w:rPr>
          <w:rFonts w:hint="eastAsia"/>
          <w:highlight w:val="none"/>
        </w:rPr>
        <w:t>日1</w:t>
      </w:r>
      <w:r>
        <w:rPr>
          <w:rFonts w:hint="default"/>
          <w:highlight w:val="none"/>
          <w:lang w:val="en"/>
        </w:rPr>
        <w:t>5</w:t>
      </w:r>
      <w:r>
        <w:rPr>
          <w:rFonts w:hint="eastAsia"/>
          <w:highlight w:val="none"/>
        </w:rPr>
        <w:t>:00时（北京时间）</w:t>
      </w:r>
      <w:r>
        <w:rPr>
          <w:rFonts w:hint="eastAsia"/>
        </w:rPr>
        <w:t>在中华人民共和国海南海事局（地址：海口市秀英区滨海大道137号）。</w:t>
      </w:r>
    </w:p>
    <w:p>
      <w:pPr>
        <w:spacing w:line="360" w:lineRule="auto"/>
        <w:ind w:firstLine="562"/>
      </w:pPr>
      <w:r>
        <w:rPr>
          <w:rFonts w:hint="eastAsia"/>
          <w:b/>
        </w:rPr>
        <w:t>八、</w:t>
      </w:r>
      <w:r>
        <w:rPr>
          <w:rFonts w:hint="eastAsia"/>
          <w:b/>
          <w:color w:val="auto"/>
        </w:rPr>
        <w:t>招标控制价</w:t>
      </w:r>
      <w:r>
        <w:rPr>
          <w:rFonts w:hint="eastAsia"/>
          <w:b/>
        </w:rPr>
        <w:t>：</w:t>
      </w:r>
      <w:r>
        <w:rPr>
          <w:rFonts w:hint="eastAsia"/>
        </w:rPr>
        <w:t>人民币40万元整。</w:t>
      </w:r>
    </w:p>
    <w:p>
      <w:pPr>
        <w:spacing w:line="360" w:lineRule="auto"/>
        <w:rPr>
          <w:b/>
        </w:rPr>
      </w:pPr>
      <w:r>
        <w:rPr>
          <w:rFonts w:hint="eastAsia"/>
        </w:rPr>
        <w:t>（供应商报价超出</w:t>
      </w:r>
      <w:r>
        <w:rPr>
          <w:rFonts w:hint="eastAsia"/>
          <w:b w:val="0"/>
          <w:bCs/>
          <w:color w:val="auto"/>
        </w:rPr>
        <w:t>招标控制价</w:t>
      </w:r>
      <w:r>
        <w:rPr>
          <w:rFonts w:hint="eastAsia"/>
        </w:rPr>
        <w:t>的，按无效竞标处理）。</w:t>
      </w:r>
    </w:p>
    <w:p>
      <w:pPr>
        <w:spacing w:line="360" w:lineRule="auto"/>
        <w:ind w:firstLine="562"/>
        <w:rPr>
          <w:b/>
        </w:rPr>
      </w:pPr>
      <w:r>
        <w:rPr>
          <w:rFonts w:hint="eastAsia"/>
          <w:b/>
        </w:rPr>
        <w:t>九、发布媒体：</w:t>
      </w:r>
      <w:r>
        <w:rPr>
          <w:rFonts w:hint="eastAsia"/>
        </w:rPr>
        <w:t>本公告在海南海事局官方网站（https://www.hn.msa.gov.cn/）发布。</w:t>
      </w:r>
    </w:p>
    <w:p>
      <w:pPr>
        <w:spacing w:line="360" w:lineRule="auto"/>
        <w:ind w:firstLine="562"/>
      </w:pPr>
      <w:r>
        <w:rPr>
          <w:rFonts w:hint="eastAsia"/>
          <w:b/>
        </w:rPr>
        <w:t>采 购 人：</w:t>
      </w:r>
      <w:r>
        <w:rPr>
          <w:rFonts w:hint="eastAsia"/>
          <w:bCs/>
        </w:rPr>
        <w:t>中华人民共和国</w:t>
      </w:r>
      <w:r>
        <w:rPr>
          <w:rFonts w:hint="eastAsia"/>
        </w:rPr>
        <w:t>海南海事局</w:t>
      </w:r>
    </w:p>
    <w:p>
      <w:pPr>
        <w:spacing w:line="360" w:lineRule="auto"/>
      </w:pPr>
      <w:r>
        <w:rPr>
          <w:rFonts w:hint="eastAsia"/>
        </w:rPr>
        <w:t>地  址：海南省</w:t>
      </w:r>
      <w:r>
        <w:t>海口市</w:t>
      </w:r>
      <w:r>
        <w:rPr>
          <w:rFonts w:hint="eastAsia"/>
        </w:rPr>
        <w:t>秀英区滨海大道</w:t>
      </w:r>
      <w:r>
        <w:t>137号</w:t>
      </w:r>
    </w:p>
    <w:p>
      <w:pPr>
        <w:spacing w:line="360" w:lineRule="auto"/>
        <w:rPr>
          <w:rFonts w:hint="eastAsia" w:eastAsia="宋体"/>
          <w:color w:val="auto"/>
          <w:highlight w:val="none"/>
          <w:lang w:val="en-US" w:eastAsia="zh-CN"/>
        </w:rPr>
      </w:pPr>
      <w:r>
        <w:rPr>
          <w:rFonts w:hint="eastAsia"/>
          <w:color w:val="auto"/>
          <w:highlight w:val="none"/>
        </w:rPr>
        <w:t>联 系 人：</w:t>
      </w:r>
      <w:r>
        <w:rPr>
          <w:rFonts w:hint="eastAsia"/>
          <w:color w:val="auto"/>
          <w:highlight w:val="none"/>
          <w:lang w:eastAsia="zh-CN"/>
        </w:rPr>
        <w:t>王城杰</w:t>
      </w:r>
    </w:p>
    <w:p>
      <w:pPr>
        <w:spacing w:line="360" w:lineRule="auto"/>
        <w:rPr>
          <w:rFonts w:hint="default" w:eastAsia="宋体"/>
          <w:color w:val="auto"/>
          <w:highlight w:val="none"/>
          <w:lang w:val="en-US" w:eastAsia="zh-CN"/>
        </w:rPr>
      </w:pPr>
      <w:r>
        <w:rPr>
          <w:rFonts w:hint="eastAsia"/>
          <w:color w:val="auto"/>
          <w:highlight w:val="none"/>
        </w:rPr>
        <w:t>联系电话：</w:t>
      </w:r>
      <w:r>
        <w:rPr>
          <w:rFonts w:hint="eastAsia"/>
          <w:color w:val="auto"/>
          <w:highlight w:val="none"/>
          <w:lang w:val="en-US" w:eastAsia="zh-CN"/>
        </w:rPr>
        <w:t>0898-68621087，手机号18976268676。</w:t>
      </w:r>
    </w:p>
    <w:p>
      <w:pPr>
        <w:pStyle w:val="3"/>
        <w:ind w:firstLine="0" w:firstLineChars="0"/>
        <w:jc w:val="center"/>
        <w:rPr>
          <w:sz w:val="24"/>
        </w:rPr>
      </w:pPr>
      <w:bookmarkStart w:id="1" w:name="_Toc491149580"/>
      <w:r>
        <w:br w:type="page"/>
      </w:r>
      <w:bookmarkEnd w:id="1"/>
      <w:bookmarkStart w:id="2" w:name="_Toc26556"/>
      <w:bookmarkStart w:id="3" w:name="_Toc491149581"/>
      <w:r>
        <w:rPr>
          <w:rFonts w:hint="eastAsia"/>
        </w:rPr>
        <w:t>第一章 供应商须知及前附表</w:t>
      </w:r>
      <w:bookmarkEnd w:id="2"/>
      <w:bookmarkEnd w:id="3"/>
    </w:p>
    <w:p>
      <w:pPr>
        <w:ind w:firstLine="0" w:firstLineChars="0"/>
        <w:jc w:val="center"/>
        <w:rPr>
          <w:bCs/>
          <w:sz w:val="44"/>
        </w:rPr>
      </w:pPr>
      <w:r>
        <w:rPr>
          <w:rFonts w:hint="eastAsia"/>
        </w:rPr>
        <w:t>供应商须知前附表</w:t>
      </w:r>
    </w:p>
    <w:tbl>
      <w:tblPr>
        <w:tblStyle w:val="34"/>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8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52" w:type="dxa"/>
            <w:vAlign w:val="center"/>
          </w:tcPr>
          <w:p>
            <w:pPr>
              <w:ind w:firstLine="0" w:firstLineChars="0"/>
              <w:jc w:val="center"/>
              <w:rPr>
                <w:b/>
                <w:bCs/>
                <w:sz w:val="24"/>
                <w:szCs w:val="24"/>
              </w:rPr>
            </w:pPr>
            <w:r>
              <w:rPr>
                <w:rFonts w:hint="eastAsia"/>
                <w:b/>
                <w:bCs/>
                <w:sz w:val="24"/>
                <w:szCs w:val="24"/>
              </w:rPr>
              <w:t>序号</w:t>
            </w:r>
          </w:p>
        </w:tc>
        <w:tc>
          <w:tcPr>
            <w:tcW w:w="8648" w:type="dxa"/>
            <w:vAlign w:val="center"/>
          </w:tcPr>
          <w:p>
            <w:pPr>
              <w:ind w:firstLine="0" w:firstLineChars="0"/>
              <w:jc w:val="center"/>
              <w:rPr>
                <w:b/>
                <w:bCs/>
                <w:sz w:val="24"/>
                <w:szCs w:val="24"/>
              </w:rPr>
            </w:pPr>
            <w:r>
              <w:rPr>
                <w:rFonts w:hint="eastAsia"/>
                <w:b/>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52" w:type="dxa"/>
            <w:vAlign w:val="center"/>
          </w:tcPr>
          <w:p>
            <w:pPr>
              <w:ind w:firstLine="0" w:firstLineChars="0"/>
              <w:jc w:val="center"/>
              <w:rPr>
                <w:sz w:val="24"/>
                <w:szCs w:val="24"/>
              </w:rPr>
            </w:pPr>
            <w:r>
              <w:rPr>
                <w:sz w:val="24"/>
                <w:szCs w:val="24"/>
              </w:rPr>
              <w:t>1</w:t>
            </w:r>
          </w:p>
        </w:tc>
        <w:tc>
          <w:tcPr>
            <w:tcW w:w="8648" w:type="dxa"/>
            <w:vAlign w:val="center"/>
          </w:tcPr>
          <w:p>
            <w:pPr>
              <w:ind w:firstLine="0" w:firstLineChars="0"/>
              <w:rPr>
                <w:sz w:val="24"/>
                <w:szCs w:val="24"/>
              </w:rPr>
            </w:pPr>
            <w:r>
              <w:rPr>
                <w:rFonts w:hint="eastAsia"/>
                <w:sz w:val="24"/>
                <w:szCs w:val="24"/>
              </w:rPr>
              <w:t>项目名称：海南自由贸易港船员考试英文题库建设项目</w:t>
            </w:r>
          </w:p>
          <w:p>
            <w:pPr>
              <w:ind w:firstLine="0" w:firstLineChars="0"/>
              <w:rPr>
                <w:sz w:val="24"/>
                <w:szCs w:val="24"/>
                <w:highlight w:val="yellow"/>
              </w:rPr>
            </w:pPr>
            <w:r>
              <w:rPr>
                <w:rFonts w:hint="eastAsia"/>
                <w:sz w:val="24"/>
                <w:szCs w:val="24"/>
              </w:rPr>
              <w:t>项目编号：</w:t>
            </w:r>
            <w:r>
              <w:rPr>
                <w:sz w:val="24"/>
                <w:szCs w:val="24"/>
              </w:rPr>
              <w:t>202201</w:t>
            </w:r>
          </w:p>
          <w:p>
            <w:pPr>
              <w:ind w:firstLine="0" w:firstLineChars="0"/>
              <w:rPr>
                <w:sz w:val="24"/>
                <w:szCs w:val="24"/>
              </w:rPr>
            </w:pPr>
            <w:r>
              <w:rPr>
                <w:rFonts w:hint="eastAsia"/>
                <w:sz w:val="24"/>
                <w:szCs w:val="24"/>
              </w:rPr>
              <w:t>采购内容：</w:t>
            </w:r>
          </w:p>
          <w:p>
            <w:pPr>
              <w:ind w:firstLine="480"/>
              <w:rPr>
                <w:sz w:val="24"/>
                <w:szCs w:val="24"/>
              </w:rPr>
            </w:pPr>
            <w:r>
              <w:rPr>
                <w:rFonts w:hint="eastAsia"/>
                <w:sz w:val="24"/>
                <w:szCs w:val="24"/>
              </w:rPr>
              <w:t>根据项目的建设目标、业务需求和质量标准，依据有关法律法规、</w:t>
            </w:r>
            <w:r>
              <w:rPr>
                <w:sz w:val="24"/>
                <w:szCs w:val="24"/>
              </w:rPr>
              <w:t>国家相关规范以</w:t>
            </w:r>
            <w:r>
              <w:rPr>
                <w:rFonts w:hint="eastAsia"/>
                <w:sz w:val="24"/>
                <w:szCs w:val="24"/>
              </w:rPr>
              <w:t>及招标文件</w:t>
            </w:r>
            <w:r>
              <w:rPr>
                <w:sz w:val="24"/>
                <w:szCs w:val="24"/>
              </w:rPr>
              <w:t>要求</w:t>
            </w:r>
            <w:r>
              <w:rPr>
                <w:rFonts w:hint="eastAsia"/>
                <w:sz w:val="24"/>
                <w:szCs w:val="24"/>
              </w:rPr>
              <w:t>，开展外国籍船员考试题库建设（内容包括大纲解析、试题编写、试题审定、试题入库，以及考试核心软件改造和维护，协助采购</w:t>
            </w:r>
            <w:r>
              <w:rPr>
                <w:sz w:val="24"/>
                <w:szCs w:val="24"/>
              </w:rPr>
              <w:t>人</w:t>
            </w:r>
            <w:r>
              <w:rPr>
                <w:rFonts w:hint="eastAsia"/>
                <w:sz w:val="24"/>
                <w:szCs w:val="24"/>
              </w:rPr>
              <w:t>协调服务对象等有关各方关系，保证项目按照时间要求、质量要求、在预算范围内完成，保证外国籍船员考试各项工作顺利开展，并满足未来外国籍船员考试发展的需要。</w:t>
            </w:r>
          </w:p>
          <w:p>
            <w:pPr>
              <w:ind w:firstLine="480"/>
              <w:rPr>
                <w:sz w:val="24"/>
                <w:szCs w:val="24"/>
              </w:rPr>
            </w:pPr>
            <w:r>
              <w:rPr>
                <w:rFonts w:hint="eastAsia"/>
                <w:sz w:val="24"/>
                <w:szCs w:val="24"/>
              </w:rPr>
              <w:t>具体详见招标采购文件服务要求。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2" w:type="dxa"/>
            <w:vAlign w:val="center"/>
          </w:tcPr>
          <w:p>
            <w:pPr>
              <w:ind w:firstLine="0" w:firstLineChars="0"/>
              <w:jc w:val="center"/>
              <w:rPr>
                <w:sz w:val="24"/>
                <w:szCs w:val="24"/>
              </w:rPr>
            </w:pPr>
            <w:r>
              <w:rPr>
                <w:rFonts w:hint="eastAsia"/>
                <w:sz w:val="24"/>
                <w:szCs w:val="24"/>
              </w:rPr>
              <w:t>2</w:t>
            </w:r>
          </w:p>
        </w:tc>
        <w:tc>
          <w:tcPr>
            <w:tcW w:w="8648" w:type="dxa"/>
            <w:vAlign w:val="center"/>
          </w:tcPr>
          <w:p>
            <w:pPr>
              <w:ind w:firstLine="0" w:firstLineChars="0"/>
              <w:rPr>
                <w:sz w:val="24"/>
                <w:szCs w:val="24"/>
              </w:rPr>
            </w:pPr>
            <w:r>
              <w:rPr>
                <w:rFonts w:hint="eastAsia"/>
                <w:sz w:val="24"/>
                <w:szCs w:val="24"/>
              </w:rPr>
              <w:t>资金来源：财政性资金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52" w:type="dxa"/>
            <w:vAlign w:val="center"/>
          </w:tcPr>
          <w:p>
            <w:pPr>
              <w:ind w:firstLine="0" w:firstLineChars="0"/>
              <w:jc w:val="center"/>
              <w:rPr>
                <w:sz w:val="24"/>
                <w:szCs w:val="24"/>
              </w:rPr>
            </w:pPr>
            <w:r>
              <w:rPr>
                <w:rFonts w:hint="eastAsia"/>
                <w:sz w:val="24"/>
                <w:szCs w:val="24"/>
              </w:rPr>
              <w:t>3</w:t>
            </w:r>
          </w:p>
        </w:tc>
        <w:tc>
          <w:tcPr>
            <w:tcW w:w="8648" w:type="dxa"/>
            <w:vAlign w:val="center"/>
          </w:tcPr>
          <w:p>
            <w:pPr>
              <w:ind w:firstLine="0" w:firstLineChars="0"/>
              <w:rPr>
                <w:sz w:val="24"/>
                <w:szCs w:val="24"/>
              </w:rPr>
            </w:pPr>
            <w:r>
              <w:rPr>
                <w:rFonts w:hint="eastAsia"/>
                <w:sz w:val="24"/>
                <w:szCs w:val="24"/>
              </w:rPr>
              <w:t>投标响应文件</w:t>
            </w:r>
            <w:r>
              <w:rPr>
                <w:sz w:val="24"/>
                <w:szCs w:val="24"/>
              </w:rPr>
              <w:t>编制要求、数量及封装要求：</w:t>
            </w:r>
          </w:p>
          <w:p>
            <w:pPr>
              <w:ind w:firstLine="0" w:firstLineChars="0"/>
              <w:rPr>
                <w:sz w:val="24"/>
                <w:szCs w:val="24"/>
              </w:rPr>
            </w:pPr>
            <w:r>
              <w:rPr>
                <w:rFonts w:hint="eastAsia"/>
                <w:sz w:val="24"/>
                <w:szCs w:val="24"/>
              </w:rPr>
              <w:t>（1）纸质版响应文件应有章节目录，每页都有页码标注；</w:t>
            </w:r>
          </w:p>
          <w:p>
            <w:pPr>
              <w:ind w:firstLine="0" w:firstLineChars="0"/>
              <w:rPr>
                <w:sz w:val="24"/>
                <w:szCs w:val="24"/>
              </w:rPr>
            </w:pPr>
            <w:r>
              <w:rPr>
                <w:rFonts w:hint="eastAsia"/>
                <w:sz w:val="24"/>
                <w:szCs w:val="24"/>
              </w:rPr>
              <w:t>（2）纸质版响应文件严禁使用塑料皮，拉杆夹等，必须胶装装订；</w:t>
            </w:r>
          </w:p>
          <w:p>
            <w:pPr>
              <w:ind w:firstLine="0" w:firstLineChars="0"/>
              <w:rPr>
                <w:sz w:val="24"/>
                <w:szCs w:val="24"/>
              </w:rPr>
            </w:pPr>
            <w:r>
              <w:rPr>
                <w:rFonts w:hint="eastAsia"/>
                <w:sz w:val="24"/>
                <w:szCs w:val="24"/>
              </w:rPr>
              <w:t>（3）纸质版响应文件1套正本，4套副本；</w:t>
            </w:r>
          </w:p>
          <w:p>
            <w:pPr>
              <w:ind w:firstLine="0" w:firstLineChars="0"/>
              <w:rPr>
                <w:sz w:val="24"/>
                <w:szCs w:val="24"/>
              </w:rPr>
            </w:pPr>
            <w:r>
              <w:rPr>
                <w:rFonts w:hint="eastAsia"/>
                <w:sz w:val="24"/>
                <w:szCs w:val="24"/>
              </w:rPr>
              <w:t>（4）需提供一套电子版响应文件，储存介质为光盘或U盘，电子版响应文件的内容应包括纸质版响应文件的全部内容；</w:t>
            </w:r>
          </w:p>
          <w:p>
            <w:pPr>
              <w:ind w:firstLine="0" w:firstLineChars="0"/>
              <w:rPr>
                <w:sz w:val="24"/>
                <w:szCs w:val="24"/>
              </w:rPr>
            </w:pPr>
            <w:r>
              <w:rPr>
                <w:rFonts w:hint="eastAsia"/>
                <w:sz w:val="24"/>
                <w:szCs w:val="24"/>
              </w:rPr>
              <w:t>（5）供应商递交的纸质版响应文件正、副本需封装在同一密封袋内，电子版响应文件需单独密封。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52" w:type="dxa"/>
            <w:vAlign w:val="center"/>
          </w:tcPr>
          <w:p>
            <w:pPr>
              <w:ind w:firstLine="0" w:firstLineChars="0"/>
              <w:jc w:val="center"/>
              <w:rPr>
                <w:sz w:val="24"/>
                <w:szCs w:val="24"/>
              </w:rPr>
            </w:pPr>
            <w:r>
              <w:rPr>
                <w:rFonts w:hint="eastAsia"/>
                <w:sz w:val="24"/>
                <w:szCs w:val="24"/>
              </w:rPr>
              <w:t>4</w:t>
            </w:r>
          </w:p>
        </w:tc>
        <w:tc>
          <w:tcPr>
            <w:tcW w:w="8648" w:type="dxa"/>
            <w:vAlign w:val="center"/>
          </w:tcPr>
          <w:p>
            <w:pPr>
              <w:ind w:firstLine="0" w:firstLineChars="0"/>
              <w:rPr>
                <w:sz w:val="24"/>
                <w:szCs w:val="24"/>
              </w:rPr>
            </w:pPr>
            <w:r>
              <w:rPr>
                <w:rFonts w:hint="eastAsia"/>
                <w:sz w:val="24"/>
                <w:szCs w:val="24"/>
              </w:rPr>
              <w:t>递交竞标响应文件截止时间与地点：</w:t>
            </w:r>
            <w:r>
              <w:rPr>
                <w:rFonts w:hint="eastAsia"/>
                <w:sz w:val="24"/>
                <w:szCs w:val="24"/>
                <w:highlight w:val="none"/>
              </w:rPr>
              <w:t>2022年6月2</w:t>
            </w:r>
            <w:r>
              <w:rPr>
                <w:sz w:val="24"/>
                <w:szCs w:val="24"/>
                <w:highlight w:val="none"/>
              </w:rPr>
              <w:t>1</w:t>
            </w:r>
            <w:r>
              <w:rPr>
                <w:rFonts w:hint="eastAsia"/>
                <w:sz w:val="24"/>
                <w:szCs w:val="24"/>
                <w:highlight w:val="none"/>
              </w:rPr>
              <w:t>日1</w:t>
            </w:r>
            <w:r>
              <w:rPr>
                <w:sz w:val="24"/>
                <w:szCs w:val="24"/>
                <w:highlight w:val="none"/>
              </w:rPr>
              <w:t>2</w:t>
            </w:r>
            <w:r>
              <w:rPr>
                <w:rFonts w:hint="eastAsia"/>
                <w:sz w:val="24"/>
                <w:szCs w:val="24"/>
                <w:highlight w:val="none"/>
              </w:rPr>
              <w:t>:</w:t>
            </w:r>
            <w:r>
              <w:rPr>
                <w:sz w:val="24"/>
                <w:szCs w:val="24"/>
                <w:highlight w:val="none"/>
              </w:rPr>
              <w:t>0</w:t>
            </w:r>
            <w:r>
              <w:rPr>
                <w:rFonts w:hint="eastAsia"/>
                <w:sz w:val="24"/>
                <w:szCs w:val="24"/>
                <w:highlight w:val="none"/>
              </w:rPr>
              <w:t>0</w:t>
            </w:r>
            <w:r>
              <w:rPr>
                <w:rFonts w:hint="eastAsia"/>
                <w:sz w:val="24"/>
                <w:szCs w:val="24"/>
                <w:highlight w:val="none"/>
                <w:lang w:eastAsia="zh-CN"/>
              </w:rPr>
              <w:t>时</w:t>
            </w:r>
            <w:r>
              <w:rPr>
                <w:rFonts w:hint="eastAsia"/>
                <w:sz w:val="24"/>
                <w:szCs w:val="24"/>
              </w:rPr>
              <w:t>（北京时间），递交地址：中华人民共和国海南海事局（地址：海口市秀英区滨海大道137号）。</w:t>
            </w:r>
          </w:p>
          <w:p>
            <w:pPr>
              <w:ind w:firstLine="0" w:firstLineChars="0"/>
              <w:rPr>
                <w:sz w:val="24"/>
                <w:szCs w:val="24"/>
                <w:highlight w:val="none"/>
              </w:rPr>
            </w:pPr>
            <w:r>
              <w:rPr>
                <w:rFonts w:hint="eastAsia"/>
                <w:b/>
                <w:bCs/>
                <w:sz w:val="24"/>
                <w:szCs w:val="24"/>
              </w:rPr>
              <w:t>注：常态化疫情防控期间，竞标人通过邮寄的方式递投标文件，需合理考虑邮寄的时间，确保在投标截止时间前将密封好的投标文件邮寄到海南海事局。如投标文件逾期送达，采购人将予以拒绝，并退回投标人。</w:t>
            </w:r>
            <w:r>
              <w:rPr>
                <w:rFonts w:hint="eastAsia"/>
                <w:b/>
                <w:bCs/>
                <w:sz w:val="24"/>
                <w:szCs w:val="24"/>
                <w:highlight w:val="none"/>
              </w:rPr>
              <w:t>如确因疫情的原因造成未能及时送达，须及时联系采购人，以采购人认可的其他方式递交。</w:t>
            </w:r>
          </w:p>
          <w:p>
            <w:pPr>
              <w:ind w:firstLine="0" w:firstLineChars="0"/>
              <w:rPr>
                <w:b/>
                <w:bCs/>
                <w:color w:val="auto"/>
                <w:sz w:val="24"/>
                <w:szCs w:val="24"/>
              </w:rPr>
            </w:pPr>
            <w:r>
              <w:rPr>
                <w:rFonts w:hint="eastAsia"/>
                <w:b/>
                <w:bCs/>
                <w:color w:val="auto"/>
                <w:sz w:val="24"/>
                <w:szCs w:val="24"/>
              </w:rPr>
              <w:t>邮寄地址：海南省海口市秀英区滨海大道137号海南海事局</w:t>
            </w:r>
          </w:p>
          <w:p>
            <w:pPr>
              <w:ind w:firstLine="0" w:firstLineChars="0"/>
              <w:rPr>
                <w:sz w:val="24"/>
                <w:szCs w:val="24"/>
              </w:rPr>
            </w:pPr>
            <w:r>
              <w:rPr>
                <w:rFonts w:hint="eastAsia"/>
                <w:b/>
                <w:bCs/>
                <w:color w:val="auto"/>
                <w:sz w:val="24"/>
                <w:szCs w:val="24"/>
              </w:rPr>
              <w:t>接收人：</w:t>
            </w:r>
            <w:r>
              <w:rPr>
                <w:rFonts w:hint="eastAsia"/>
                <w:b/>
                <w:bCs/>
                <w:color w:val="auto"/>
                <w:sz w:val="24"/>
                <w:szCs w:val="24"/>
                <w:lang w:eastAsia="zh-CN"/>
              </w:rPr>
              <w:t>王城杰</w:t>
            </w:r>
            <w:r>
              <w:rPr>
                <w:rFonts w:hint="eastAsia"/>
                <w:b/>
                <w:bCs/>
                <w:color w:val="auto"/>
                <w:sz w:val="24"/>
                <w:szCs w:val="24"/>
                <w:lang w:val="en-US" w:eastAsia="zh-CN"/>
              </w:rPr>
              <w:t xml:space="preserve">  </w:t>
            </w:r>
            <w:r>
              <w:rPr>
                <w:rFonts w:hint="eastAsia"/>
                <w:b/>
                <w:bCs/>
                <w:color w:val="FF0000"/>
                <w:sz w:val="24"/>
                <w:szCs w:val="24"/>
                <w:lang w:val="en-US" w:eastAsia="zh-CN"/>
              </w:rPr>
              <w:t xml:space="preserve">                   </w:t>
            </w:r>
            <w:r>
              <w:rPr>
                <w:rFonts w:hint="eastAsia"/>
                <w:b/>
                <w:bCs/>
                <w:color w:val="auto"/>
                <w:sz w:val="24"/>
                <w:szCs w:val="24"/>
              </w:rPr>
              <w:t>联系电话：</w:t>
            </w:r>
            <w:r>
              <w:rPr>
                <w:rFonts w:hint="eastAsia"/>
                <w:b/>
                <w:bCs/>
                <w:color w:val="auto"/>
                <w:sz w:val="24"/>
                <w:szCs w:val="24"/>
                <w:lang w:val="en-US" w:eastAsia="zh-CN"/>
              </w:rPr>
              <w:t>18976268676</w:t>
            </w:r>
            <w:r>
              <w:rPr>
                <w:rFonts w:hint="eastAsia"/>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752" w:type="dxa"/>
            <w:vAlign w:val="center"/>
          </w:tcPr>
          <w:p>
            <w:pPr>
              <w:ind w:firstLine="0" w:firstLineChars="0"/>
              <w:jc w:val="center"/>
              <w:rPr>
                <w:sz w:val="24"/>
                <w:szCs w:val="24"/>
              </w:rPr>
            </w:pPr>
            <w:r>
              <w:rPr>
                <w:rFonts w:hint="eastAsia"/>
                <w:sz w:val="24"/>
                <w:szCs w:val="24"/>
              </w:rPr>
              <w:t>5</w:t>
            </w:r>
          </w:p>
        </w:tc>
        <w:tc>
          <w:tcPr>
            <w:tcW w:w="8648" w:type="dxa"/>
            <w:vAlign w:val="center"/>
          </w:tcPr>
          <w:p>
            <w:pPr>
              <w:spacing w:before="156" w:beforeLines="50" w:line="360" w:lineRule="auto"/>
              <w:ind w:firstLine="0" w:firstLineChars="0"/>
              <w:rPr>
                <w:color w:val="auto"/>
                <w:sz w:val="24"/>
                <w:szCs w:val="24"/>
                <w:highlight w:val="none"/>
              </w:rPr>
            </w:pPr>
            <w:r>
              <w:rPr>
                <w:rFonts w:hint="eastAsia"/>
                <w:sz w:val="24"/>
                <w:szCs w:val="24"/>
              </w:rPr>
              <w:t>开标时间：</w:t>
            </w:r>
            <w:r>
              <w:rPr>
                <w:color w:val="auto"/>
                <w:sz w:val="24"/>
                <w:szCs w:val="24"/>
                <w:highlight w:val="none"/>
              </w:rPr>
              <w:t>2022</w:t>
            </w:r>
            <w:r>
              <w:rPr>
                <w:rFonts w:hint="eastAsia"/>
                <w:color w:val="auto"/>
                <w:sz w:val="24"/>
                <w:szCs w:val="24"/>
                <w:highlight w:val="none"/>
              </w:rPr>
              <w:t>年6月2</w:t>
            </w:r>
            <w:r>
              <w:rPr>
                <w:color w:val="auto"/>
                <w:sz w:val="24"/>
                <w:szCs w:val="24"/>
                <w:highlight w:val="none"/>
              </w:rPr>
              <w:t>1</w:t>
            </w:r>
            <w:r>
              <w:rPr>
                <w:rFonts w:hint="eastAsia"/>
                <w:color w:val="auto"/>
                <w:sz w:val="24"/>
                <w:szCs w:val="24"/>
                <w:highlight w:val="none"/>
              </w:rPr>
              <w:t>日1</w:t>
            </w:r>
            <w:r>
              <w:rPr>
                <w:rFonts w:hint="eastAsia"/>
                <w:color w:val="auto"/>
                <w:sz w:val="24"/>
                <w:szCs w:val="24"/>
                <w:highlight w:val="none"/>
                <w:lang w:val="en-US" w:eastAsia="zh-CN"/>
              </w:rPr>
              <w:t>5</w:t>
            </w:r>
            <w:r>
              <w:rPr>
                <w:rFonts w:hint="eastAsia"/>
                <w:color w:val="auto"/>
                <w:sz w:val="24"/>
                <w:szCs w:val="24"/>
                <w:highlight w:val="none"/>
              </w:rPr>
              <w:t>:00（北京时间）</w:t>
            </w:r>
          </w:p>
          <w:p>
            <w:pPr>
              <w:ind w:firstLine="0" w:firstLineChars="0"/>
              <w:rPr>
                <w:sz w:val="24"/>
                <w:szCs w:val="24"/>
              </w:rPr>
            </w:pPr>
            <w:r>
              <w:rPr>
                <w:rFonts w:hint="eastAsia"/>
                <w:sz w:val="24"/>
                <w:szCs w:val="24"/>
              </w:rPr>
              <w:t>开标地点：中华人民共和国海南海事局（地址：海口市秀英区滨海大道137号）</w:t>
            </w:r>
          </w:p>
          <w:p>
            <w:pPr>
              <w:pStyle w:val="2"/>
              <w:ind w:firstLine="0" w:firstLineChars="0"/>
              <w:rPr>
                <w:sz w:val="24"/>
                <w:szCs w:val="24"/>
              </w:rPr>
            </w:pPr>
            <w:r>
              <w:rPr>
                <w:rFonts w:hint="eastAsia"/>
                <w:b/>
                <w:bCs/>
                <w:sz w:val="24"/>
                <w:szCs w:val="24"/>
              </w:rPr>
              <w:t>注：本项目邀请投标人授权代表通过腾讯会议网络在线参与项目开标，腾讯会议软件会议室号由采购人另行通知，请供应商进入会议室后将备注名称修改为单位全称。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752" w:type="dxa"/>
            <w:vAlign w:val="center"/>
          </w:tcPr>
          <w:p>
            <w:pPr>
              <w:ind w:firstLine="0" w:firstLineChars="0"/>
              <w:jc w:val="center"/>
              <w:rPr>
                <w:sz w:val="24"/>
                <w:szCs w:val="24"/>
              </w:rPr>
            </w:pPr>
            <w:r>
              <w:rPr>
                <w:rFonts w:hint="eastAsia"/>
                <w:sz w:val="24"/>
                <w:szCs w:val="24"/>
              </w:rPr>
              <w:t>6</w:t>
            </w:r>
          </w:p>
        </w:tc>
        <w:tc>
          <w:tcPr>
            <w:tcW w:w="8648" w:type="dxa"/>
            <w:vAlign w:val="center"/>
          </w:tcPr>
          <w:p>
            <w:pPr>
              <w:ind w:firstLine="0" w:firstLineChars="0"/>
              <w:rPr>
                <w:sz w:val="24"/>
                <w:szCs w:val="24"/>
              </w:rPr>
            </w:pPr>
            <w:r>
              <w:rPr>
                <w:sz w:val="24"/>
                <w:szCs w:val="24"/>
              </w:rPr>
              <w:t>1</w:t>
            </w:r>
            <w:r>
              <w:rPr>
                <w:rFonts w:hint="eastAsia"/>
                <w:sz w:val="24"/>
                <w:szCs w:val="24"/>
              </w:rPr>
              <w:t>、供应商应具备政府采购法第二十二条规定的条件：</w:t>
            </w:r>
          </w:p>
          <w:p>
            <w:pPr>
              <w:ind w:firstLine="0" w:firstLineChars="0"/>
              <w:rPr>
                <w:rFonts w:cs="宋体"/>
                <w:kern w:val="0"/>
                <w:sz w:val="24"/>
                <w:szCs w:val="24"/>
              </w:rPr>
            </w:pPr>
            <w:r>
              <w:rPr>
                <w:rFonts w:hint="eastAsia" w:cs="宋体"/>
                <w:kern w:val="0"/>
                <w:sz w:val="24"/>
                <w:szCs w:val="24"/>
              </w:rPr>
              <w:t>（1）供应商须为中国境内注册的独立企业法人或其他组织，</w:t>
            </w:r>
            <w:r>
              <w:rPr>
                <w:rFonts w:hint="eastAsia"/>
                <w:sz w:val="24"/>
                <w:szCs w:val="24"/>
              </w:rPr>
              <w:t>拥有合法经营权利，符合国家有关规定，具有独立承担民事责任的能力；</w:t>
            </w:r>
          </w:p>
          <w:p>
            <w:pPr>
              <w:ind w:firstLine="0" w:firstLineChars="0"/>
              <w:rPr>
                <w:sz w:val="24"/>
                <w:szCs w:val="24"/>
              </w:rPr>
            </w:pPr>
            <w:r>
              <w:rPr>
                <w:rFonts w:hint="eastAsia"/>
                <w:sz w:val="24"/>
                <w:szCs w:val="24"/>
              </w:rPr>
              <w:t>（2）具有良好的商业信誉和健全的</w:t>
            </w:r>
            <w:r>
              <w:fldChar w:fldCharType="begin"/>
            </w:r>
            <w:r>
              <w:instrText xml:space="preserve"> HYPERLINK "https://baike.baidu.com/item/%E8%B4%A2%E5%8A%A1%E4%BC%9A%E8%AE%A1%E5%88%B6%E5%BA%A6" \t "_blank" </w:instrText>
            </w:r>
            <w:r>
              <w:fldChar w:fldCharType="separate"/>
            </w:r>
            <w:r>
              <w:rPr>
                <w:rStyle w:val="39"/>
                <w:rFonts w:hint="eastAsia"/>
                <w:color w:val="auto"/>
                <w:sz w:val="24"/>
                <w:szCs w:val="24"/>
                <w:u w:val="none"/>
              </w:rPr>
              <w:t>财务会计制度</w:t>
            </w:r>
            <w:r>
              <w:rPr>
                <w:rStyle w:val="39"/>
                <w:rFonts w:hint="eastAsia"/>
                <w:color w:val="auto"/>
                <w:sz w:val="24"/>
                <w:szCs w:val="24"/>
                <w:u w:val="none"/>
              </w:rPr>
              <w:fldChar w:fldCharType="end"/>
            </w:r>
            <w:r>
              <w:rPr>
                <w:rFonts w:hint="eastAsia"/>
                <w:sz w:val="24"/>
                <w:szCs w:val="24"/>
              </w:rPr>
              <w:t>；</w:t>
            </w:r>
          </w:p>
          <w:p>
            <w:pPr>
              <w:ind w:firstLine="0" w:firstLineChars="0"/>
              <w:rPr>
                <w:sz w:val="24"/>
                <w:szCs w:val="24"/>
              </w:rPr>
            </w:pPr>
            <w:r>
              <w:rPr>
                <w:rFonts w:hint="eastAsia"/>
                <w:sz w:val="24"/>
                <w:szCs w:val="24"/>
              </w:rPr>
              <w:t>（3）具有履行合同所必需的设备和专业技术能力；</w:t>
            </w:r>
          </w:p>
          <w:p>
            <w:pPr>
              <w:ind w:firstLine="0" w:firstLineChars="0"/>
              <w:rPr>
                <w:sz w:val="24"/>
                <w:szCs w:val="24"/>
              </w:rPr>
            </w:pPr>
            <w:r>
              <w:rPr>
                <w:rFonts w:hint="eastAsia"/>
                <w:sz w:val="24"/>
                <w:szCs w:val="24"/>
              </w:rPr>
              <w:t>（4）有依法缴纳税收和社会保障资金的良好记录；</w:t>
            </w:r>
          </w:p>
          <w:p>
            <w:pPr>
              <w:ind w:firstLine="0" w:firstLineChars="0"/>
              <w:rPr>
                <w:sz w:val="24"/>
                <w:szCs w:val="24"/>
              </w:rPr>
            </w:pPr>
            <w:r>
              <w:rPr>
                <w:rFonts w:hint="eastAsia"/>
                <w:sz w:val="24"/>
                <w:szCs w:val="24"/>
              </w:rPr>
              <w:t>（5）参加政府采购活动前三年内，在经营活动中没有重大违法记录；</w:t>
            </w:r>
          </w:p>
          <w:p>
            <w:pPr>
              <w:ind w:firstLine="0" w:firstLineChars="0"/>
              <w:rPr>
                <w:sz w:val="24"/>
                <w:szCs w:val="24"/>
              </w:rPr>
            </w:pPr>
            <w:r>
              <w:rPr>
                <w:rFonts w:hint="eastAsia"/>
                <w:sz w:val="24"/>
                <w:szCs w:val="24"/>
              </w:rPr>
              <w:t>（6）法律、行政法规规定的其他条件。</w:t>
            </w:r>
          </w:p>
          <w:p>
            <w:pPr>
              <w:ind w:firstLine="0" w:firstLineChars="0"/>
              <w:rPr>
                <w:sz w:val="24"/>
                <w:szCs w:val="24"/>
              </w:rPr>
            </w:pPr>
            <w:r>
              <w:rPr>
                <w:rFonts w:hint="eastAsia"/>
                <w:sz w:val="24"/>
                <w:szCs w:val="24"/>
              </w:rPr>
              <w:t>2、经查询信用信息存在不良信用记录的不得参加本采购项目。</w:t>
            </w:r>
          </w:p>
          <w:p>
            <w:pPr>
              <w:ind w:firstLine="0" w:firstLineChars="0"/>
              <w:rPr>
                <w:sz w:val="24"/>
                <w:szCs w:val="24"/>
              </w:rPr>
            </w:pPr>
            <w:r>
              <w:rPr>
                <w:rFonts w:hint="eastAsia"/>
                <w:sz w:val="24"/>
                <w:szCs w:val="24"/>
              </w:rPr>
              <w:t>（1）</w:t>
            </w:r>
            <w:r>
              <w:rPr>
                <w:rFonts w:hint="eastAsia" w:cs="宋体"/>
                <w:kern w:val="0"/>
                <w:sz w:val="24"/>
                <w:szCs w:val="24"/>
              </w:rPr>
              <w:t>信用信息查询渠道：“中国政府采购网”(www.ccgp.gov.cn)政府采购严重违法失信行为信息记录</w:t>
            </w:r>
            <w:r>
              <w:rPr>
                <w:rFonts w:hint="eastAsia"/>
                <w:sz w:val="24"/>
                <w:szCs w:val="24"/>
              </w:rPr>
              <w:t>。</w:t>
            </w:r>
          </w:p>
          <w:p>
            <w:pPr>
              <w:ind w:firstLine="0" w:firstLineChars="0"/>
              <w:rPr>
                <w:sz w:val="24"/>
                <w:szCs w:val="24"/>
              </w:rPr>
            </w:pPr>
            <w:r>
              <w:rPr>
                <w:rFonts w:hint="eastAsia"/>
                <w:sz w:val="24"/>
                <w:szCs w:val="24"/>
              </w:rPr>
              <w:t>（2）信用信息查询截止时点：</w:t>
            </w:r>
            <w:r>
              <w:rPr>
                <w:rFonts w:hint="eastAsia"/>
                <w:sz w:val="24"/>
                <w:szCs w:val="24"/>
                <w:highlight w:val="none"/>
              </w:rPr>
              <w:t>不早于20</w:t>
            </w:r>
            <w:r>
              <w:rPr>
                <w:sz w:val="24"/>
                <w:szCs w:val="24"/>
                <w:highlight w:val="none"/>
              </w:rPr>
              <w:t>22</w:t>
            </w:r>
            <w:r>
              <w:rPr>
                <w:rFonts w:hint="eastAsia"/>
                <w:sz w:val="24"/>
                <w:szCs w:val="24"/>
                <w:highlight w:val="none"/>
              </w:rPr>
              <w:t>年</w:t>
            </w:r>
            <w:r>
              <w:rPr>
                <w:rFonts w:hint="eastAsia" w:cs="Arial"/>
                <w:bCs/>
                <w:sz w:val="24"/>
                <w:szCs w:val="24"/>
                <w:highlight w:val="none"/>
              </w:rPr>
              <w:t>6</w:t>
            </w:r>
            <w:r>
              <w:rPr>
                <w:rFonts w:hint="eastAsia"/>
                <w:sz w:val="24"/>
                <w:szCs w:val="24"/>
                <w:highlight w:val="none"/>
              </w:rPr>
              <w:t>月</w:t>
            </w:r>
            <w:r>
              <w:rPr>
                <w:rFonts w:hint="eastAsia" w:cs="Arial"/>
                <w:bCs/>
                <w:sz w:val="24"/>
                <w:szCs w:val="24"/>
                <w:highlight w:val="none"/>
              </w:rPr>
              <w:t>13</w:t>
            </w:r>
            <w:r>
              <w:rPr>
                <w:rFonts w:hint="eastAsia"/>
                <w:sz w:val="24"/>
                <w:szCs w:val="24"/>
                <w:highlight w:val="none"/>
              </w:rPr>
              <w:t>日</w:t>
            </w:r>
            <w:r>
              <w:rPr>
                <w:rFonts w:hint="eastAsia"/>
                <w:sz w:val="24"/>
                <w:szCs w:val="24"/>
              </w:rPr>
              <w:t>。</w:t>
            </w:r>
          </w:p>
          <w:p>
            <w:pPr>
              <w:ind w:firstLine="0" w:firstLineChars="0"/>
              <w:rPr>
                <w:sz w:val="24"/>
                <w:szCs w:val="24"/>
              </w:rPr>
            </w:pPr>
            <w:r>
              <w:rPr>
                <w:rFonts w:hint="eastAsia"/>
                <w:sz w:val="24"/>
                <w:szCs w:val="24"/>
              </w:rPr>
              <w:t>（3）信用信息查询记录和证据留存方式：截屏等可实现留痕的方式。</w:t>
            </w:r>
          </w:p>
          <w:p>
            <w:pPr>
              <w:ind w:firstLine="0" w:firstLineChars="0"/>
              <w:rPr>
                <w:sz w:val="24"/>
                <w:szCs w:val="24"/>
              </w:rPr>
            </w:pPr>
            <w:r>
              <w:rPr>
                <w:rFonts w:hint="eastAsia"/>
                <w:sz w:val="24"/>
                <w:szCs w:val="24"/>
              </w:rPr>
              <w:t>（4）信用信息使用规则：对于经查询信用信息存在不良信用记录的供应商，谈判小组应取消其响应资格。</w:t>
            </w:r>
          </w:p>
          <w:p>
            <w:pPr>
              <w:ind w:firstLine="0" w:firstLineChars="0"/>
              <w:rPr>
                <w:sz w:val="24"/>
                <w:szCs w:val="24"/>
              </w:rPr>
            </w:pPr>
            <w:r>
              <w:rPr>
                <w:rFonts w:hint="eastAsia"/>
                <w:sz w:val="24"/>
                <w:szCs w:val="24"/>
              </w:rPr>
              <w:t>3、投标人应具备考试题库建设所需的专业技术能力、信息系统建设和服务能力，熟悉考试题库建设和考试日常实施程序，了解全国船员考试系统功能、与关联系统间的数据接口类型和标准。</w:t>
            </w:r>
          </w:p>
          <w:p>
            <w:pPr>
              <w:ind w:firstLine="0" w:firstLineChars="0"/>
              <w:rPr>
                <w:sz w:val="24"/>
                <w:szCs w:val="24"/>
              </w:rPr>
            </w:pPr>
            <w:r>
              <w:rPr>
                <w:rFonts w:hint="eastAsia"/>
                <w:sz w:val="24"/>
                <w:szCs w:val="24"/>
              </w:rPr>
              <w:t>4、本项目不接受联合体响应；</w:t>
            </w:r>
          </w:p>
          <w:p>
            <w:pPr>
              <w:ind w:firstLine="0" w:firstLineChars="0"/>
              <w:rPr>
                <w:snapToGrid w:val="0"/>
                <w:sz w:val="24"/>
                <w:szCs w:val="24"/>
              </w:rPr>
            </w:pPr>
            <w:r>
              <w:rPr>
                <w:rFonts w:hint="eastAsia" w:cs="宋体"/>
                <w:sz w:val="24"/>
                <w:szCs w:val="24"/>
              </w:rPr>
              <w:t>5、</w:t>
            </w:r>
            <w:r>
              <w:rPr>
                <w:rFonts w:hint="eastAsia"/>
                <w:snapToGrid w:val="0"/>
                <w:sz w:val="24"/>
                <w:szCs w:val="24"/>
              </w:rPr>
              <w:t>其他要求：</w:t>
            </w:r>
          </w:p>
          <w:p>
            <w:pPr>
              <w:ind w:firstLine="0" w:firstLineChars="0"/>
              <w:rPr>
                <w:sz w:val="24"/>
                <w:szCs w:val="24"/>
              </w:rPr>
            </w:pPr>
            <w:r>
              <w:rPr>
                <w:rFonts w:hint="eastAsia"/>
                <w:kern w:val="0"/>
                <w:sz w:val="24"/>
                <w:szCs w:val="24"/>
              </w:rPr>
              <w:t>（1）</w:t>
            </w:r>
            <w:r>
              <w:rPr>
                <w:rFonts w:hint="eastAsia"/>
                <w:sz w:val="24"/>
                <w:szCs w:val="24"/>
              </w:rPr>
              <w:t>单位负责人为同一人或者存在控股、管理关系的不同单位，不得参加同一标段投标或者未划分标段的同一招标项目投标；</w:t>
            </w:r>
          </w:p>
          <w:p>
            <w:pPr>
              <w:ind w:firstLine="0" w:firstLineChars="0"/>
              <w:rPr>
                <w:sz w:val="24"/>
                <w:szCs w:val="24"/>
              </w:rPr>
            </w:pPr>
            <w:r>
              <w:rPr>
                <w:rFonts w:hint="eastAsia"/>
                <w:kern w:val="0"/>
                <w:sz w:val="24"/>
                <w:szCs w:val="24"/>
              </w:rPr>
              <w:t>（2）</w:t>
            </w:r>
            <w:r>
              <w:rPr>
                <w:rFonts w:hint="eastAsia"/>
                <w:sz w:val="24"/>
                <w:szCs w:val="24"/>
              </w:rPr>
              <w:t>与招标人存在利害关系可能影响招标公正性的法人、其他组织或者个人，不得参加投标；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52" w:type="dxa"/>
            <w:vAlign w:val="center"/>
          </w:tcPr>
          <w:p>
            <w:pPr>
              <w:ind w:firstLine="0" w:firstLineChars="0"/>
              <w:jc w:val="center"/>
              <w:rPr>
                <w:sz w:val="24"/>
                <w:szCs w:val="24"/>
              </w:rPr>
            </w:pPr>
            <w:r>
              <w:rPr>
                <w:rFonts w:hint="eastAsia"/>
                <w:sz w:val="24"/>
                <w:szCs w:val="24"/>
              </w:rPr>
              <w:t>7</w:t>
            </w:r>
          </w:p>
        </w:tc>
        <w:tc>
          <w:tcPr>
            <w:tcW w:w="8648" w:type="dxa"/>
            <w:vAlign w:val="center"/>
          </w:tcPr>
          <w:p>
            <w:pPr>
              <w:ind w:firstLine="0" w:firstLineChars="0"/>
              <w:rPr>
                <w:sz w:val="24"/>
                <w:szCs w:val="24"/>
              </w:rPr>
            </w:pPr>
            <w:r>
              <w:rPr>
                <w:rFonts w:hint="eastAsia"/>
                <w:sz w:val="24"/>
                <w:szCs w:val="24"/>
              </w:rPr>
              <w:t>投标有效期：投标有效期为自递交投标响应文件之日起60个日历日。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52" w:type="dxa"/>
            <w:vAlign w:val="center"/>
          </w:tcPr>
          <w:p>
            <w:pPr>
              <w:ind w:firstLine="0" w:firstLineChars="0"/>
              <w:jc w:val="center"/>
              <w:rPr>
                <w:sz w:val="24"/>
                <w:szCs w:val="24"/>
              </w:rPr>
            </w:pPr>
            <w:r>
              <w:rPr>
                <w:sz w:val="24"/>
                <w:szCs w:val="24"/>
              </w:rPr>
              <w:t>8</w:t>
            </w:r>
          </w:p>
        </w:tc>
        <w:tc>
          <w:tcPr>
            <w:tcW w:w="8648" w:type="dxa"/>
            <w:vAlign w:val="center"/>
          </w:tcPr>
          <w:p>
            <w:pPr>
              <w:ind w:firstLine="0" w:firstLineChars="0"/>
              <w:rPr>
                <w:sz w:val="24"/>
                <w:szCs w:val="24"/>
              </w:rPr>
            </w:pPr>
            <w:r>
              <w:rPr>
                <w:rFonts w:hint="eastAsia"/>
                <w:sz w:val="24"/>
                <w:szCs w:val="24"/>
                <w:lang w:eastAsia="zh-CN"/>
              </w:rPr>
              <w:t>服务及建设</w:t>
            </w:r>
            <w:r>
              <w:rPr>
                <w:rFonts w:hint="eastAsia"/>
                <w:sz w:val="24"/>
                <w:szCs w:val="24"/>
              </w:rPr>
              <w:t>期限：</w:t>
            </w:r>
            <w:r>
              <w:rPr>
                <w:rFonts w:hint="eastAsia"/>
                <w:sz w:val="24"/>
                <w:szCs w:val="24"/>
                <w:lang w:eastAsia="zh-CN"/>
              </w:rPr>
              <w:t>服务期限为合同签订之日起一年期；建设期限为合同签订之日起三个月（</w:t>
            </w:r>
            <w:r>
              <w:rPr>
                <w:rFonts w:hint="eastAsia"/>
                <w:sz w:val="24"/>
                <w:szCs w:val="24"/>
                <w:lang w:val="en-US" w:eastAsia="zh-CN"/>
              </w:rPr>
              <w:t>90个日历日</w:t>
            </w:r>
            <w:r>
              <w:rPr>
                <w:rFonts w:hint="eastAsia"/>
                <w:sz w:val="24"/>
                <w:szCs w:val="24"/>
                <w:lang w:eastAsia="zh-CN"/>
              </w:rPr>
              <w:t>）内完成。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752" w:type="dxa"/>
            <w:vAlign w:val="center"/>
          </w:tcPr>
          <w:p>
            <w:pPr>
              <w:ind w:firstLine="0" w:firstLineChars="0"/>
              <w:jc w:val="center"/>
              <w:rPr>
                <w:sz w:val="24"/>
                <w:szCs w:val="24"/>
              </w:rPr>
            </w:pPr>
            <w:r>
              <w:rPr>
                <w:sz w:val="24"/>
                <w:szCs w:val="24"/>
              </w:rPr>
              <w:t>9</w:t>
            </w:r>
          </w:p>
        </w:tc>
        <w:tc>
          <w:tcPr>
            <w:tcW w:w="8648" w:type="dxa"/>
            <w:vAlign w:val="center"/>
          </w:tcPr>
          <w:p>
            <w:pPr>
              <w:ind w:firstLine="0" w:firstLineChars="0"/>
              <w:rPr>
                <w:sz w:val="24"/>
                <w:szCs w:val="24"/>
              </w:rPr>
            </w:pPr>
            <w:r>
              <w:rPr>
                <w:rFonts w:hint="eastAsia"/>
                <w:sz w:val="24"/>
                <w:szCs w:val="24"/>
              </w:rPr>
              <w:t>供应商报价中所需采购服务各项内容要求的单价、数量、</w:t>
            </w:r>
            <w:r>
              <w:rPr>
                <w:sz w:val="24"/>
                <w:szCs w:val="24"/>
              </w:rPr>
              <w:t>费用总计等内容</w:t>
            </w:r>
            <w:r>
              <w:rPr>
                <w:rFonts w:hint="eastAsia"/>
                <w:sz w:val="24"/>
                <w:szCs w:val="24"/>
              </w:rPr>
              <w:t>，</w:t>
            </w:r>
            <w:r>
              <w:rPr>
                <w:sz w:val="24"/>
                <w:szCs w:val="24"/>
              </w:rPr>
              <w:t>需详细说明每项服务内容详细的服务内容及单价</w:t>
            </w:r>
            <w:r>
              <w:rPr>
                <w:rFonts w:hint="eastAsia"/>
                <w:sz w:val="24"/>
                <w:szCs w:val="24"/>
              </w:rPr>
              <w:t>、</w:t>
            </w:r>
            <w:r>
              <w:rPr>
                <w:sz w:val="24"/>
                <w:szCs w:val="24"/>
              </w:rPr>
              <w:t>分项总价</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52" w:type="dxa"/>
            <w:vAlign w:val="center"/>
          </w:tcPr>
          <w:p>
            <w:pPr>
              <w:ind w:firstLine="0" w:firstLineChars="0"/>
              <w:jc w:val="center"/>
              <w:rPr>
                <w:sz w:val="24"/>
                <w:szCs w:val="24"/>
              </w:rPr>
            </w:pPr>
            <w:r>
              <w:rPr>
                <w:rFonts w:hint="eastAsia"/>
                <w:sz w:val="24"/>
                <w:szCs w:val="24"/>
              </w:rPr>
              <w:t>1</w:t>
            </w:r>
            <w:r>
              <w:rPr>
                <w:sz w:val="24"/>
                <w:szCs w:val="24"/>
              </w:rPr>
              <w:t>0</w:t>
            </w:r>
          </w:p>
        </w:tc>
        <w:tc>
          <w:tcPr>
            <w:tcW w:w="8648" w:type="dxa"/>
            <w:vAlign w:val="center"/>
          </w:tcPr>
          <w:p>
            <w:pPr>
              <w:ind w:firstLine="0" w:firstLineChars="0"/>
              <w:rPr>
                <w:rFonts w:cs="宋体"/>
                <w:b/>
                <w:kern w:val="0"/>
                <w:sz w:val="24"/>
                <w:szCs w:val="24"/>
              </w:rPr>
            </w:pPr>
            <w:r>
              <w:rPr>
                <w:rFonts w:hint="eastAsia"/>
                <w:sz w:val="24"/>
                <w:szCs w:val="24"/>
              </w:rPr>
              <w:t>招标控制价：项目总预算人民币40万元整。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52" w:type="dxa"/>
            <w:vAlign w:val="center"/>
          </w:tcPr>
          <w:p>
            <w:pPr>
              <w:ind w:firstLine="0" w:firstLineChars="0"/>
              <w:jc w:val="center"/>
              <w:rPr>
                <w:color w:val="auto"/>
                <w:sz w:val="24"/>
                <w:szCs w:val="24"/>
                <w:highlight w:val="none"/>
              </w:rPr>
            </w:pPr>
            <w:r>
              <w:rPr>
                <w:rFonts w:hint="eastAsia"/>
                <w:color w:val="auto"/>
                <w:sz w:val="24"/>
                <w:szCs w:val="24"/>
                <w:highlight w:val="none"/>
              </w:rPr>
              <w:t>1</w:t>
            </w:r>
            <w:r>
              <w:rPr>
                <w:color w:val="auto"/>
                <w:sz w:val="24"/>
                <w:szCs w:val="24"/>
                <w:highlight w:val="none"/>
              </w:rPr>
              <w:t>1</w:t>
            </w:r>
          </w:p>
        </w:tc>
        <w:tc>
          <w:tcPr>
            <w:tcW w:w="8648" w:type="dxa"/>
            <w:vAlign w:val="center"/>
          </w:tcPr>
          <w:p>
            <w:pPr>
              <w:ind w:firstLine="0" w:firstLineChars="0"/>
              <w:rPr>
                <w:color w:val="auto"/>
                <w:sz w:val="24"/>
                <w:szCs w:val="24"/>
                <w:highlight w:val="none"/>
              </w:rPr>
            </w:pPr>
            <w:r>
              <w:rPr>
                <w:rFonts w:hint="eastAsia"/>
                <w:color w:val="auto"/>
                <w:sz w:val="24"/>
                <w:szCs w:val="24"/>
                <w:highlight w:val="none"/>
              </w:rPr>
              <w:t>履约担保：</w:t>
            </w:r>
          </w:p>
          <w:p>
            <w:pPr>
              <w:ind w:firstLine="0" w:firstLineChars="0"/>
              <w:rPr>
                <w:color w:val="auto"/>
                <w:sz w:val="24"/>
                <w:szCs w:val="24"/>
                <w:highlight w:val="none"/>
              </w:rPr>
            </w:pPr>
            <w:r>
              <w:rPr>
                <w:rFonts w:hint="eastAsia"/>
                <w:color w:val="auto"/>
                <w:sz w:val="24"/>
                <w:szCs w:val="24"/>
                <w:highlight w:val="none"/>
              </w:rPr>
              <w:t>（1）履约保证金金额：合同总价的5%；</w:t>
            </w:r>
          </w:p>
          <w:p>
            <w:pPr>
              <w:ind w:firstLine="0" w:firstLineChars="0"/>
              <w:rPr>
                <w:color w:val="auto"/>
                <w:sz w:val="24"/>
                <w:szCs w:val="24"/>
                <w:highlight w:val="none"/>
              </w:rPr>
            </w:pPr>
            <w:r>
              <w:rPr>
                <w:rFonts w:hint="eastAsia"/>
                <w:color w:val="auto"/>
                <w:sz w:val="24"/>
                <w:szCs w:val="24"/>
                <w:highlight w:val="none"/>
              </w:rPr>
              <w:t>（2）缴纳时间和形式：合同签订后5个工作日内，以甲方可接受的在中华人民共和国注册和营业的银行提供的履约保函（无条件、不可撤销的“见索即付”保函，保函期限与质保期相匹配）或者支票、汇票；</w:t>
            </w:r>
          </w:p>
          <w:p>
            <w:pPr>
              <w:ind w:firstLine="0" w:firstLineChars="0"/>
              <w:rPr>
                <w:color w:val="auto"/>
                <w:highlight w:val="none"/>
              </w:rPr>
            </w:pPr>
            <w:r>
              <w:rPr>
                <w:rFonts w:hint="eastAsia"/>
                <w:color w:val="auto"/>
                <w:sz w:val="24"/>
                <w:szCs w:val="24"/>
                <w:highlight w:val="none"/>
              </w:rPr>
              <w:t>（3）保证金退还：项目验收合格后30个工作日（质保期）内退还。</w:t>
            </w:r>
          </w:p>
        </w:tc>
      </w:tr>
    </w:tbl>
    <w:p>
      <w:pPr>
        <w:spacing w:line="360" w:lineRule="auto"/>
        <w:ind w:firstLine="880"/>
        <w:rPr>
          <w:b/>
          <w:bCs/>
        </w:rPr>
      </w:pPr>
      <w:r>
        <w:rPr>
          <w:sz w:val="44"/>
        </w:rPr>
        <w:br w:type="page"/>
      </w:r>
      <w:r>
        <w:rPr>
          <w:rFonts w:hint="eastAsia"/>
          <w:b/>
          <w:bCs/>
        </w:rPr>
        <w:t>供应商须知</w:t>
      </w:r>
    </w:p>
    <w:p>
      <w:pPr>
        <w:spacing w:line="360" w:lineRule="auto"/>
      </w:pPr>
      <w:bookmarkStart w:id="4" w:name="_Toc491149582"/>
      <w:r>
        <w:rPr>
          <w:rFonts w:hint="eastAsia"/>
        </w:rPr>
        <w:t>一、适用定义</w:t>
      </w:r>
      <w:bookmarkEnd w:id="4"/>
    </w:p>
    <w:p>
      <w:pPr>
        <w:spacing w:line="360" w:lineRule="auto"/>
      </w:pPr>
      <w:r>
        <w:rPr>
          <w:rFonts w:hint="eastAsia"/>
        </w:rPr>
        <w:t>本文件中所用下列名词的含义在此予以确定。</w:t>
      </w:r>
    </w:p>
    <w:p>
      <w:pPr>
        <w:spacing w:line="360" w:lineRule="auto"/>
      </w:pPr>
      <w:r>
        <w:rPr>
          <w:rFonts w:hint="eastAsia"/>
        </w:rPr>
        <w:t>（一）</w:t>
      </w:r>
      <w:r>
        <w:rPr>
          <w:rFonts w:hint="eastAsia"/>
          <w:b/>
        </w:rPr>
        <w:t>“采购人”</w:t>
      </w:r>
      <w:r>
        <w:rPr>
          <w:rFonts w:hint="eastAsia"/>
        </w:rPr>
        <w:t>系指中华人民共和国海南海事局。</w:t>
      </w:r>
    </w:p>
    <w:p>
      <w:pPr>
        <w:spacing w:line="360" w:lineRule="auto"/>
      </w:pPr>
      <w:r>
        <w:rPr>
          <w:rFonts w:hint="eastAsia"/>
        </w:rPr>
        <w:t>（二）</w:t>
      </w:r>
      <w:r>
        <w:rPr>
          <w:rFonts w:hint="eastAsia"/>
          <w:b/>
        </w:rPr>
        <w:t>“供应商”</w:t>
      </w:r>
      <w:r>
        <w:rPr>
          <w:rFonts w:hint="eastAsia"/>
        </w:rPr>
        <w:t>系指能够满足本次采购条件的供货商。</w:t>
      </w:r>
    </w:p>
    <w:p>
      <w:pPr>
        <w:spacing w:line="360" w:lineRule="auto"/>
      </w:pPr>
      <w:r>
        <w:rPr>
          <w:rFonts w:hint="eastAsia"/>
        </w:rPr>
        <w:t>（三）</w:t>
      </w:r>
      <w:r>
        <w:rPr>
          <w:rFonts w:hint="eastAsia"/>
          <w:b/>
        </w:rPr>
        <w:t>“合同”</w:t>
      </w:r>
      <w:r>
        <w:rPr>
          <w:rFonts w:hint="eastAsia"/>
        </w:rPr>
        <w:t>系指买卖双方签署的、合同格式中载明的买卖双方所达成的协议，包括所有的附件和上述文件所提到的构成合同的所有文件。</w:t>
      </w:r>
    </w:p>
    <w:p>
      <w:pPr>
        <w:spacing w:line="360" w:lineRule="auto"/>
      </w:pPr>
      <w:bookmarkStart w:id="5" w:name="_Toc491149583"/>
      <w:r>
        <w:rPr>
          <w:rFonts w:hint="eastAsia"/>
        </w:rPr>
        <w:t>二、项目概述</w:t>
      </w:r>
      <w:bookmarkEnd w:id="5"/>
    </w:p>
    <w:p>
      <w:pPr>
        <w:spacing w:line="360" w:lineRule="auto"/>
      </w:pPr>
      <w:r>
        <w:rPr>
          <w:rFonts w:hint="eastAsia"/>
        </w:rPr>
        <w:t>本次采购项目按照《中华人民共和国政府采购法》和《中华人民共和国政府采购法实施条例》的有关规定，就海南自由贸易港船员考试英文题库建设项目进行招标。</w:t>
      </w:r>
    </w:p>
    <w:p>
      <w:pPr>
        <w:spacing w:line="360" w:lineRule="auto"/>
      </w:pPr>
      <w:r>
        <w:rPr>
          <w:rFonts w:hint="eastAsia"/>
        </w:rPr>
        <w:t>（一）本次采购的内容为：海南自由贸易港船员考试英文题库建设项目（具体要求详见第三章服务要求）。</w:t>
      </w:r>
    </w:p>
    <w:p>
      <w:pPr>
        <w:spacing w:line="360" w:lineRule="auto"/>
      </w:pPr>
      <w:r>
        <w:rPr>
          <w:rFonts w:hint="eastAsia"/>
        </w:rPr>
        <w:t>（二）服务期限：合同签订之日起一年期，具体</w:t>
      </w:r>
      <w:r>
        <w:t>按</w:t>
      </w:r>
      <w:r>
        <w:rPr>
          <w:rFonts w:hint="eastAsia"/>
        </w:rPr>
        <w:t>合同签订内容执行。</w:t>
      </w:r>
    </w:p>
    <w:p>
      <w:pPr>
        <w:spacing w:line="360" w:lineRule="auto"/>
      </w:pPr>
      <w:r>
        <w:rPr>
          <w:rFonts w:hint="eastAsia"/>
        </w:rPr>
        <w:t>（三）采购人名称：中华人民共和国海南海事局。</w:t>
      </w:r>
    </w:p>
    <w:p>
      <w:pPr>
        <w:pStyle w:val="68"/>
        <w:spacing w:line="360" w:lineRule="auto"/>
      </w:pPr>
      <w:r>
        <w:rPr>
          <w:rFonts w:hint="eastAsia"/>
        </w:rPr>
        <w:t xml:space="preserve">（四）付款方式：根据最终签订的合同要求确定。 </w:t>
      </w:r>
    </w:p>
    <w:p>
      <w:pPr>
        <w:spacing w:line="360" w:lineRule="auto"/>
      </w:pPr>
      <w:r>
        <w:rPr>
          <w:rFonts w:hint="eastAsia"/>
        </w:rPr>
        <w:t>（五）</w:t>
      </w:r>
      <w:r>
        <w:rPr>
          <w:rFonts w:hint="eastAsia" w:cs="宋体"/>
          <w:kern w:val="0"/>
        </w:rPr>
        <w:t>资金来源：</w:t>
      </w:r>
      <w:r>
        <w:rPr>
          <w:rFonts w:hint="eastAsia"/>
        </w:rPr>
        <w:t>财政资金。</w:t>
      </w:r>
    </w:p>
    <w:p>
      <w:pPr>
        <w:spacing w:line="360" w:lineRule="auto"/>
      </w:pPr>
      <w:bookmarkStart w:id="6" w:name="_Toc491149584"/>
      <w:r>
        <w:rPr>
          <w:rFonts w:hint="eastAsia"/>
        </w:rPr>
        <w:t>三、供应商的资格条件</w:t>
      </w:r>
      <w:bookmarkEnd w:id="6"/>
    </w:p>
    <w:p>
      <w:pPr>
        <w:spacing w:line="360" w:lineRule="auto"/>
      </w:pPr>
      <w:bookmarkStart w:id="7" w:name="_Toc491149585"/>
      <w:r>
        <w:rPr>
          <w:rFonts w:hint="eastAsia"/>
        </w:rPr>
        <w:t>1、供应商应具备政府采购法第二十二条规定的条件：</w:t>
      </w:r>
    </w:p>
    <w:p>
      <w:pPr>
        <w:spacing w:line="360" w:lineRule="auto"/>
        <w:rPr>
          <w:rFonts w:cs="宋体"/>
          <w:kern w:val="0"/>
          <w:szCs w:val="21"/>
        </w:rPr>
      </w:pPr>
      <w:r>
        <w:rPr>
          <w:rFonts w:hint="eastAsia" w:cs="宋体"/>
          <w:kern w:val="0"/>
          <w:szCs w:val="21"/>
        </w:rPr>
        <w:t>（1）供应商须为中国境内注册的独立企业法人或其他组织，</w:t>
      </w:r>
      <w:r>
        <w:rPr>
          <w:rFonts w:hint="eastAsia"/>
        </w:rPr>
        <w:t>拥有合法经营权利，符合国家有关规定，具有独立承担民事责任的能力；</w:t>
      </w:r>
    </w:p>
    <w:p>
      <w:pPr>
        <w:spacing w:line="360" w:lineRule="auto"/>
      </w:pPr>
      <w:r>
        <w:rPr>
          <w:rFonts w:hint="eastAsia"/>
        </w:rPr>
        <w:t>（2）具有良好的商业信誉和健全的</w:t>
      </w:r>
      <w:r>
        <w:fldChar w:fldCharType="begin"/>
      </w:r>
      <w:r>
        <w:instrText xml:space="preserve"> HYPERLINK "https://baike.baidu.com/item/%E8%B4%A2%E5%8A%A1%E4%BC%9A%E8%AE%A1%E5%88%B6%E5%BA%A6" \t "_blank" </w:instrText>
      </w:r>
      <w:r>
        <w:fldChar w:fldCharType="separate"/>
      </w:r>
      <w:r>
        <w:rPr>
          <w:rStyle w:val="39"/>
          <w:rFonts w:hint="eastAsia"/>
          <w:color w:val="auto"/>
          <w:u w:val="none"/>
        </w:rPr>
        <w:t>财务会计制度</w:t>
      </w:r>
      <w:r>
        <w:rPr>
          <w:rStyle w:val="39"/>
          <w:rFonts w:hint="eastAsia"/>
          <w:color w:val="auto"/>
          <w:u w:val="none"/>
        </w:rPr>
        <w:fldChar w:fldCharType="end"/>
      </w:r>
      <w:r>
        <w:rPr>
          <w:rFonts w:hint="eastAsia"/>
        </w:rPr>
        <w:t>；</w:t>
      </w:r>
    </w:p>
    <w:p>
      <w:pPr>
        <w:spacing w:line="360" w:lineRule="auto"/>
      </w:pPr>
      <w:r>
        <w:rPr>
          <w:rFonts w:hint="eastAsia"/>
        </w:rPr>
        <w:t>（3）具有履行合同所必需的设备和专业技术能力；</w:t>
      </w:r>
    </w:p>
    <w:p>
      <w:pPr>
        <w:spacing w:line="360" w:lineRule="auto"/>
      </w:pPr>
      <w:r>
        <w:rPr>
          <w:rFonts w:hint="eastAsia"/>
        </w:rPr>
        <w:t>（4）有依法缴纳税收和社会保障资金的良好记录；</w:t>
      </w:r>
    </w:p>
    <w:p>
      <w:pPr>
        <w:spacing w:line="360" w:lineRule="auto"/>
      </w:pPr>
      <w:r>
        <w:rPr>
          <w:rFonts w:hint="eastAsia"/>
        </w:rPr>
        <w:t>（5）参加政府采购活动前三年内，在经营活动中没有重大违法记录；</w:t>
      </w:r>
    </w:p>
    <w:p>
      <w:pPr>
        <w:spacing w:line="360" w:lineRule="auto"/>
      </w:pPr>
      <w:r>
        <w:rPr>
          <w:rFonts w:hint="eastAsia"/>
        </w:rPr>
        <w:t>（6）法律、行政法规规定的其他条件。</w:t>
      </w:r>
    </w:p>
    <w:p>
      <w:pPr>
        <w:spacing w:line="360" w:lineRule="auto"/>
      </w:pPr>
      <w:r>
        <w:rPr>
          <w:rFonts w:hint="eastAsia"/>
        </w:rPr>
        <w:t>2、经查询信用信息存在不良信用记录的不得参加本采购项目。</w:t>
      </w:r>
    </w:p>
    <w:p>
      <w:pPr>
        <w:spacing w:line="360" w:lineRule="auto"/>
      </w:pPr>
      <w:r>
        <w:rPr>
          <w:rFonts w:hint="eastAsia"/>
        </w:rPr>
        <w:t>（1）</w:t>
      </w:r>
      <w:r>
        <w:rPr>
          <w:rFonts w:hint="eastAsia" w:cs="宋体"/>
          <w:kern w:val="0"/>
        </w:rPr>
        <w:t>信用信息查询渠道：“中国政府采购网”(www.ccgp.gov.cn)政府采购严重违法失信行为信息记录</w:t>
      </w:r>
      <w:r>
        <w:rPr>
          <w:rFonts w:hint="eastAsia"/>
        </w:rPr>
        <w:t>。</w:t>
      </w:r>
    </w:p>
    <w:p>
      <w:pPr>
        <w:spacing w:line="360" w:lineRule="auto"/>
      </w:pPr>
      <w:r>
        <w:rPr>
          <w:rFonts w:hint="eastAsia"/>
        </w:rPr>
        <w:t>（2）信用信息查询不早于：</w:t>
      </w:r>
      <w:r>
        <w:rPr>
          <w:rFonts w:hint="eastAsia"/>
          <w:highlight w:val="none"/>
        </w:rPr>
        <w:t>2022年6月13日。</w:t>
      </w:r>
    </w:p>
    <w:p>
      <w:pPr>
        <w:spacing w:line="360" w:lineRule="auto"/>
      </w:pPr>
      <w:r>
        <w:rPr>
          <w:rFonts w:hint="eastAsia"/>
        </w:rPr>
        <w:t>（3）信用信息查询记录和证据留存方式：截屏等可实现留痕的方式。</w:t>
      </w:r>
    </w:p>
    <w:p>
      <w:pPr>
        <w:spacing w:line="360" w:lineRule="auto"/>
      </w:pPr>
      <w:r>
        <w:rPr>
          <w:rFonts w:hint="eastAsia"/>
        </w:rPr>
        <w:t>（4）信用信息使用规则：对于经查询信用信息存在不良信用记录的供应商，谈判小组应取消其响应资格。</w:t>
      </w:r>
    </w:p>
    <w:p>
      <w:pPr>
        <w:spacing w:line="360" w:lineRule="auto"/>
      </w:pPr>
      <w:r>
        <w:rPr>
          <w:rFonts w:hint="eastAsia"/>
        </w:rPr>
        <w:t>3、投标人应具备考试题库建设所需的专业技术能力、信息系统建设和服务能力，熟悉考试题库建设和考试日常实施程序，了解全国船员考试系统功能、与关联系统间的数据接口类型和标准。</w:t>
      </w:r>
    </w:p>
    <w:p>
      <w:pPr>
        <w:spacing w:line="360" w:lineRule="auto"/>
      </w:pPr>
      <w:r>
        <w:rPr>
          <w:rFonts w:hint="eastAsia"/>
        </w:rPr>
        <w:t>4、本项目不接受联合体响应。</w:t>
      </w:r>
    </w:p>
    <w:p>
      <w:pPr>
        <w:spacing w:line="360" w:lineRule="auto"/>
        <w:rPr>
          <w:snapToGrid w:val="0"/>
        </w:rPr>
      </w:pPr>
      <w:r>
        <w:rPr>
          <w:rFonts w:hint="eastAsia" w:cs="宋体"/>
          <w:szCs w:val="21"/>
        </w:rPr>
        <w:t>5、</w:t>
      </w:r>
      <w:r>
        <w:rPr>
          <w:rFonts w:hint="eastAsia"/>
          <w:snapToGrid w:val="0"/>
        </w:rPr>
        <w:t>其他要求：</w:t>
      </w:r>
    </w:p>
    <w:p>
      <w:pPr>
        <w:spacing w:line="360" w:lineRule="auto"/>
      </w:pPr>
      <w:r>
        <w:rPr>
          <w:rFonts w:hint="eastAsia"/>
          <w:kern w:val="0"/>
          <w:szCs w:val="21"/>
        </w:rPr>
        <w:t>（1）</w:t>
      </w:r>
      <w:r>
        <w:rPr>
          <w:rFonts w:hint="eastAsia"/>
        </w:rPr>
        <w:t>单位负责人为同一人或者存在控股、管理关系的不同单位，不得参加同一标段投标或者未划分标段的同一招标项目投标；</w:t>
      </w:r>
    </w:p>
    <w:p>
      <w:pPr>
        <w:spacing w:line="360" w:lineRule="auto"/>
      </w:pPr>
      <w:r>
        <w:rPr>
          <w:rFonts w:hint="eastAsia"/>
          <w:kern w:val="0"/>
          <w:szCs w:val="21"/>
        </w:rPr>
        <w:t>（2）</w:t>
      </w:r>
      <w:r>
        <w:rPr>
          <w:rFonts w:hint="eastAsia"/>
        </w:rPr>
        <w:t>与采购人存在利害关系可能影响招标公正性的法人、其他组织或者个人，不得参加投标；</w:t>
      </w:r>
    </w:p>
    <w:p>
      <w:pPr>
        <w:spacing w:line="360" w:lineRule="auto"/>
      </w:pPr>
      <w:r>
        <w:rPr>
          <w:rFonts w:hint="eastAsia"/>
        </w:rPr>
        <w:t>四、竞争性谈判采购文件组成</w:t>
      </w:r>
      <w:bookmarkEnd w:id="7"/>
    </w:p>
    <w:p>
      <w:pPr>
        <w:spacing w:line="360" w:lineRule="auto"/>
        <w:rPr>
          <w:b/>
          <w:bCs/>
        </w:rPr>
      </w:pPr>
      <w:r>
        <w:rPr>
          <w:rFonts w:hint="eastAsia"/>
        </w:rPr>
        <w:t>竞争性谈判采购文件由竞争性谈判采购公告、供应商须知及前附表、合同条款及合同格式、服务要求、投标响应文件格式和评分细则共六部分组成。</w:t>
      </w:r>
    </w:p>
    <w:p>
      <w:pPr>
        <w:spacing w:line="360" w:lineRule="auto"/>
      </w:pPr>
      <w:bookmarkStart w:id="8" w:name="_Toc491149586"/>
      <w:r>
        <w:rPr>
          <w:rFonts w:hint="eastAsia"/>
        </w:rPr>
        <w:t>五、投标响应文件组成</w:t>
      </w:r>
      <w:bookmarkEnd w:id="8"/>
    </w:p>
    <w:p>
      <w:pPr>
        <w:spacing w:line="360" w:lineRule="auto"/>
      </w:pPr>
      <w:r>
        <w:rPr>
          <w:rFonts w:hint="eastAsia"/>
        </w:rPr>
        <w:t>参加本次投标的供应商需对本项目进行报价，并且做出投标响应文件，包括：</w:t>
      </w:r>
    </w:p>
    <w:p>
      <w:pPr>
        <w:spacing w:line="360" w:lineRule="auto"/>
      </w:pPr>
      <w:r>
        <w:rPr>
          <w:rFonts w:hint="eastAsia"/>
        </w:rPr>
        <w:t>（一）报价函；</w:t>
      </w:r>
    </w:p>
    <w:p>
      <w:pPr>
        <w:spacing w:line="360" w:lineRule="auto"/>
      </w:pPr>
      <w:r>
        <w:rPr>
          <w:rFonts w:hint="eastAsia"/>
        </w:rPr>
        <w:t>（二）服务项目报价汇总表；</w:t>
      </w:r>
    </w:p>
    <w:p>
      <w:pPr>
        <w:spacing w:line="360" w:lineRule="auto"/>
      </w:pPr>
      <w:r>
        <w:rPr>
          <w:rFonts w:hint="eastAsia"/>
        </w:rPr>
        <w:t>（三）商务响应和</w:t>
      </w:r>
      <w:r>
        <w:t>偏离表</w:t>
      </w:r>
      <w:r>
        <w:rPr>
          <w:rFonts w:hint="eastAsia"/>
        </w:rPr>
        <w:t>；</w:t>
      </w:r>
    </w:p>
    <w:p>
      <w:pPr>
        <w:spacing w:line="360" w:lineRule="auto"/>
      </w:pPr>
      <w:r>
        <w:rPr>
          <w:rFonts w:hint="eastAsia"/>
        </w:rPr>
        <w:t>（</w:t>
      </w:r>
      <w:r>
        <w:t>四）</w:t>
      </w:r>
      <w:r>
        <w:rPr>
          <w:rFonts w:hint="eastAsia"/>
        </w:rPr>
        <w:t>资格证明文件；</w:t>
      </w:r>
    </w:p>
    <w:p>
      <w:pPr>
        <w:spacing w:line="360" w:lineRule="auto"/>
      </w:pPr>
      <w:r>
        <w:rPr>
          <w:rFonts w:hint="eastAsia"/>
        </w:rPr>
        <w:t>（五）成功实施过类似项目业绩或合同</w:t>
      </w:r>
    </w:p>
    <w:p>
      <w:pPr>
        <w:spacing w:line="360" w:lineRule="auto"/>
      </w:pPr>
      <w:r>
        <w:rPr>
          <w:rFonts w:hint="eastAsia"/>
        </w:rPr>
        <w:t>（六）服务承诺书；</w:t>
      </w:r>
    </w:p>
    <w:p>
      <w:pPr>
        <w:spacing w:line="360" w:lineRule="auto"/>
      </w:pPr>
      <w:r>
        <w:rPr>
          <w:rFonts w:hint="eastAsia"/>
        </w:rPr>
        <w:t>（七）服务方案及人员配置方案；</w:t>
      </w:r>
    </w:p>
    <w:p>
      <w:pPr>
        <w:spacing w:line="360" w:lineRule="auto"/>
      </w:pPr>
      <w:r>
        <w:rPr>
          <w:rFonts w:hint="eastAsia"/>
        </w:rPr>
        <w:t>（八）其他；</w:t>
      </w:r>
    </w:p>
    <w:p>
      <w:pPr>
        <w:spacing w:line="360" w:lineRule="auto"/>
      </w:pPr>
      <w:r>
        <w:rPr>
          <w:rFonts w:hint="eastAsia"/>
        </w:rPr>
        <w:t>（九）供应商需说明的其它问题；</w:t>
      </w:r>
    </w:p>
    <w:p>
      <w:pPr>
        <w:spacing w:line="360" w:lineRule="auto"/>
      </w:pPr>
      <w:r>
        <w:rPr>
          <w:rFonts w:hint="eastAsia"/>
        </w:rPr>
        <w:t>（十）电子版响应文件（光盘或U盘，需单独密封）</w:t>
      </w:r>
    </w:p>
    <w:p>
      <w:pPr>
        <w:spacing w:line="360" w:lineRule="auto"/>
        <w:rPr>
          <w:b/>
          <w:bCs/>
        </w:rPr>
      </w:pPr>
      <w:r>
        <w:rPr>
          <w:rFonts w:hint="eastAsia"/>
        </w:rPr>
        <w:t>具体格式内容见第四章投标响应文件格式。</w:t>
      </w:r>
    </w:p>
    <w:p>
      <w:pPr>
        <w:spacing w:line="360" w:lineRule="auto"/>
      </w:pPr>
      <w:bookmarkStart w:id="9" w:name="_Toc491149587"/>
      <w:r>
        <w:rPr>
          <w:rFonts w:hint="eastAsia"/>
        </w:rPr>
        <w:t>六、投标响应文件的签署等规定</w:t>
      </w:r>
      <w:bookmarkEnd w:id="9"/>
    </w:p>
    <w:p>
      <w:pPr>
        <w:spacing w:line="360" w:lineRule="auto"/>
      </w:pPr>
      <w:r>
        <w:rPr>
          <w:rFonts w:hint="eastAsia"/>
        </w:rPr>
        <w:t>（一）供应商应填写全称，同时加盖单位公章。</w:t>
      </w:r>
    </w:p>
    <w:p>
      <w:pPr>
        <w:spacing w:line="360" w:lineRule="auto"/>
      </w:pPr>
      <w:r>
        <w:rPr>
          <w:rFonts w:hint="eastAsia"/>
        </w:rPr>
        <w:t>（二）投标响应文件须由法定代表人或其授权代签署。</w:t>
      </w:r>
    </w:p>
    <w:p>
      <w:pPr>
        <w:spacing w:line="360" w:lineRule="auto"/>
      </w:pPr>
      <w:r>
        <w:rPr>
          <w:rFonts w:hint="eastAsia"/>
        </w:rPr>
        <w:t>（三）投标响应文件一式五份，正本一份，副本四份。如果正本与副本不符，以正本为准。电子文件份一(U盘)。</w:t>
      </w:r>
    </w:p>
    <w:p>
      <w:pPr>
        <w:spacing w:line="360" w:lineRule="auto"/>
      </w:pPr>
      <w:r>
        <w:rPr>
          <w:rFonts w:hint="eastAsia"/>
        </w:rPr>
        <w:t>（四）供应商应在投标响应文件封皮上标明“正本”“副本”字样，还应当写明项目编号、项目名称、供应商名称。供应商递交的文件正本和所有的副本需加盖骑缝印章并封装在同一密封袋内，封口处应有供应商法定代表人或是被授权人的签字和供应商的公章。</w:t>
      </w:r>
    </w:p>
    <w:p>
      <w:pPr>
        <w:spacing w:line="360" w:lineRule="auto"/>
      </w:pPr>
      <w:bookmarkStart w:id="10" w:name="_Toc491149588"/>
      <w:r>
        <w:rPr>
          <w:rFonts w:hint="eastAsia"/>
        </w:rPr>
        <w:t>七、货币</w:t>
      </w:r>
      <w:bookmarkEnd w:id="10"/>
    </w:p>
    <w:p>
      <w:pPr>
        <w:spacing w:line="360" w:lineRule="auto"/>
      </w:pPr>
      <w:r>
        <w:rPr>
          <w:rFonts w:hint="eastAsia"/>
        </w:rPr>
        <w:t>本次采购报价采用人民币报价。</w:t>
      </w:r>
    </w:p>
    <w:p>
      <w:pPr>
        <w:spacing w:line="360" w:lineRule="auto"/>
      </w:pPr>
      <w:bookmarkStart w:id="11" w:name="_Toc491149589"/>
      <w:r>
        <w:rPr>
          <w:rFonts w:hint="eastAsia"/>
        </w:rPr>
        <w:t>八、报价</w:t>
      </w:r>
      <w:bookmarkEnd w:id="11"/>
    </w:p>
    <w:p>
      <w:pPr>
        <w:spacing w:line="360" w:lineRule="auto"/>
        <w:rPr>
          <w:highlight w:val="none"/>
        </w:rPr>
      </w:pPr>
      <w:r>
        <w:rPr>
          <w:rFonts w:hint="eastAsia"/>
          <w:highlight w:val="none"/>
        </w:rPr>
        <w:t>供应商报价应是谈判采购文件确定的采购范围内的全部工作内容的价格体现，为实现合同目的所涉及的外国籍船员考试大纲解析、试题编写、试题审定、试题入库，以及考试核心软件开发和维护与招标等所有费用。</w:t>
      </w:r>
    </w:p>
    <w:p>
      <w:pPr>
        <w:spacing w:line="360" w:lineRule="auto"/>
      </w:pPr>
      <w:bookmarkStart w:id="12" w:name="_Toc491149590"/>
      <w:r>
        <w:rPr>
          <w:rFonts w:hint="eastAsia"/>
        </w:rPr>
        <w:t>九、证明服务的合格性和符合招标文件规定的文件</w:t>
      </w:r>
      <w:bookmarkEnd w:id="12"/>
    </w:p>
    <w:p>
      <w:pPr>
        <w:spacing w:line="360" w:lineRule="auto"/>
      </w:pPr>
      <w:r>
        <w:rPr>
          <w:rFonts w:hint="eastAsia"/>
        </w:rPr>
        <w:t>供应商应仔细阅读采购文件的所有内容，按采购文件的要求提供投标响应文件，保证所提供的全部资料的真实性，并保证其投标响应文件对采购文件做出实质性响应，否则，其投标响应文件可能被拒绝。</w:t>
      </w:r>
    </w:p>
    <w:p>
      <w:pPr>
        <w:spacing w:line="360" w:lineRule="auto"/>
      </w:pPr>
      <w:bookmarkStart w:id="13" w:name="_Toc491149592"/>
      <w:r>
        <w:rPr>
          <w:rFonts w:hint="eastAsia"/>
        </w:rPr>
        <w:t>十、投标的时间地点及合格的投标代表</w:t>
      </w:r>
      <w:bookmarkEnd w:id="13"/>
    </w:p>
    <w:p>
      <w:pPr>
        <w:spacing w:line="360" w:lineRule="auto"/>
      </w:pPr>
      <w:r>
        <w:rPr>
          <w:rFonts w:hint="eastAsia"/>
        </w:rPr>
        <w:t>（一）供应商应按采购文件中的要求按时到达“竞争性谈判采购公告”中指定投标地点；</w:t>
      </w:r>
    </w:p>
    <w:p>
      <w:pPr>
        <w:spacing w:line="360" w:lineRule="auto"/>
      </w:pPr>
      <w:r>
        <w:rPr>
          <w:rFonts w:hint="eastAsia"/>
        </w:rPr>
        <w:t>（二）供应商的投标代表必须是法定代表人或其授权代表(与法定代表人授权书姓名一致)；</w:t>
      </w:r>
    </w:p>
    <w:p>
      <w:pPr>
        <w:spacing w:line="360" w:lineRule="auto"/>
      </w:pPr>
      <w:r>
        <w:rPr>
          <w:rFonts w:hint="eastAsia"/>
        </w:rPr>
        <w:t>（三）供应商应在规定的时间内将投标响应文件递交给采购人。</w:t>
      </w:r>
    </w:p>
    <w:p>
      <w:pPr>
        <w:spacing w:line="360" w:lineRule="auto"/>
        <w:rPr>
          <w:color w:val="auto"/>
          <w:highlight w:val="none"/>
        </w:rPr>
      </w:pPr>
      <w:bookmarkStart w:id="14" w:name="_Toc491149593"/>
      <w:r>
        <w:rPr>
          <w:rFonts w:hint="eastAsia"/>
          <w:color w:val="auto"/>
          <w:highlight w:val="none"/>
        </w:rPr>
        <w:t>十一、谈判小组</w:t>
      </w:r>
      <w:bookmarkEnd w:id="14"/>
    </w:p>
    <w:p>
      <w:pPr>
        <w:spacing w:line="360" w:lineRule="auto"/>
        <w:rPr>
          <w:color w:val="auto"/>
          <w:highlight w:val="none"/>
        </w:rPr>
      </w:pPr>
      <w:r>
        <w:rPr>
          <w:rFonts w:hint="eastAsia"/>
          <w:color w:val="auto"/>
          <w:highlight w:val="none"/>
        </w:rPr>
        <w:t>采购人根据采购项目特点依法组建谈判小组，成员由采购人代表和评审专家共3人以上单数组成，其中评审专家人数不得少于竞争性谈判小组成员总数的2/3。谈判小组负责对供应商资格、响应文件进行审查，负责与供应商进行谈判，对报价进行评价，推荐成交供应商。</w:t>
      </w:r>
    </w:p>
    <w:p>
      <w:pPr>
        <w:spacing w:line="360" w:lineRule="auto"/>
        <w:rPr>
          <w:color w:val="auto"/>
          <w:highlight w:val="none"/>
        </w:rPr>
      </w:pPr>
      <w:r>
        <w:rPr>
          <w:rFonts w:hint="eastAsia"/>
          <w:color w:val="auto"/>
          <w:highlight w:val="none"/>
        </w:rPr>
        <w:t>十二、供应商资格性和符合性审查</w:t>
      </w:r>
    </w:p>
    <w:p>
      <w:pPr>
        <w:spacing w:line="360" w:lineRule="auto"/>
        <w:rPr>
          <w:color w:val="auto"/>
          <w:highlight w:val="none"/>
        </w:rPr>
      </w:pPr>
      <w:r>
        <w:rPr>
          <w:rFonts w:hint="eastAsia"/>
          <w:color w:val="auto"/>
          <w:highlight w:val="none"/>
        </w:rPr>
        <w:t>若发现下列情况之一的，供应商的报价将被拒绝：</w:t>
      </w:r>
    </w:p>
    <w:p>
      <w:pPr>
        <w:spacing w:line="360" w:lineRule="auto"/>
        <w:rPr>
          <w:color w:val="auto"/>
          <w:highlight w:val="none"/>
        </w:rPr>
      </w:pPr>
      <w:r>
        <w:rPr>
          <w:rFonts w:hint="eastAsia"/>
          <w:color w:val="auto"/>
          <w:highlight w:val="none"/>
        </w:rPr>
        <w:t>1、招标响应文件的内容不全，字迹模糊，难以辨认，未加盖供应商的企业及企业负责人印章的，或者企业负责人委托的代理人没有合法、有效的委托书（原件）及委托代理人印章的；</w:t>
      </w:r>
    </w:p>
    <w:p>
      <w:pPr>
        <w:spacing w:line="360" w:lineRule="auto"/>
        <w:rPr>
          <w:color w:val="auto"/>
          <w:highlight w:val="none"/>
        </w:rPr>
      </w:pPr>
      <w:r>
        <w:rPr>
          <w:rFonts w:hint="eastAsia"/>
          <w:color w:val="auto"/>
          <w:highlight w:val="none"/>
        </w:rPr>
        <w:t>2、供应商负责人无指定代理人的（以负责人委托授权书为准）；</w:t>
      </w:r>
    </w:p>
    <w:p>
      <w:pPr>
        <w:spacing w:line="360" w:lineRule="auto"/>
        <w:rPr>
          <w:color w:val="auto"/>
          <w:highlight w:val="none"/>
        </w:rPr>
      </w:pPr>
      <w:r>
        <w:rPr>
          <w:rFonts w:hint="eastAsia"/>
          <w:color w:val="auto"/>
          <w:highlight w:val="none"/>
        </w:rPr>
        <w:t>3、供应商或其项目经理资格不符合要求的；</w:t>
      </w:r>
    </w:p>
    <w:p>
      <w:pPr>
        <w:spacing w:line="360" w:lineRule="auto"/>
        <w:rPr>
          <w:color w:val="auto"/>
          <w:highlight w:val="none"/>
        </w:rPr>
      </w:pPr>
      <w:r>
        <w:rPr>
          <w:rFonts w:hint="eastAsia"/>
          <w:color w:val="auto"/>
          <w:highlight w:val="none"/>
        </w:rPr>
        <w:t>4、借用或冒用他人名义或证件的；</w:t>
      </w:r>
    </w:p>
    <w:p>
      <w:pPr>
        <w:spacing w:line="360" w:lineRule="auto"/>
        <w:rPr>
          <w:color w:val="auto"/>
          <w:highlight w:val="none"/>
        </w:rPr>
      </w:pPr>
      <w:r>
        <w:rPr>
          <w:rFonts w:hint="eastAsia"/>
          <w:color w:val="auto"/>
          <w:highlight w:val="none"/>
        </w:rPr>
        <w:t>5、投标响应文件有效期不符合招标采购文件规定的；</w:t>
      </w:r>
    </w:p>
    <w:p>
      <w:pPr>
        <w:spacing w:line="360" w:lineRule="auto"/>
        <w:rPr>
          <w:color w:val="auto"/>
          <w:highlight w:val="none"/>
        </w:rPr>
      </w:pPr>
      <w:r>
        <w:rPr>
          <w:rFonts w:hint="eastAsia"/>
          <w:color w:val="auto"/>
          <w:highlight w:val="none"/>
        </w:rPr>
        <w:t>6、投标响应文件载明的招标项目完成期限超过采购人要求的期限；</w:t>
      </w:r>
    </w:p>
    <w:p>
      <w:pPr>
        <w:spacing w:line="360" w:lineRule="auto"/>
        <w:rPr>
          <w:color w:val="auto"/>
          <w:highlight w:val="none"/>
        </w:rPr>
      </w:pPr>
      <w:r>
        <w:rPr>
          <w:rFonts w:hint="eastAsia"/>
          <w:color w:val="auto"/>
          <w:highlight w:val="none"/>
        </w:rPr>
        <w:t>7、不响应招标文件中规定的质量目标、工期等要求的；</w:t>
      </w:r>
    </w:p>
    <w:p>
      <w:pPr>
        <w:spacing w:line="360" w:lineRule="auto"/>
        <w:rPr>
          <w:color w:val="auto"/>
          <w:highlight w:val="none"/>
        </w:rPr>
      </w:pPr>
      <w:r>
        <w:rPr>
          <w:rFonts w:hint="eastAsia"/>
          <w:color w:val="auto"/>
          <w:highlight w:val="none"/>
        </w:rPr>
        <w:t>8、采取不正当手段诋毁、排挤其他供应商的；</w:t>
      </w:r>
    </w:p>
    <w:p>
      <w:pPr>
        <w:spacing w:line="360" w:lineRule="auto"/>
        <w:rPr>
          <w:color w:val="auto"/>
          <w:highlight w:val="none"/>
        </w:rPr>
      </w:pPr>
      <w:r>
        <w:rPr>
          <w:rFonts w:hint="eastAsia"/>
          <w:color w:val="auto"/>
          <w:highlight w:val="none"/>
        </w:rPr>
        <w:t>9、不符合法律法规及招标文件规定的其他实质性要求的。</w:t>
      </w:r>
    </w:p>
    <w:p>
      <w:pPr>
        <w:spacing w:line="360" w:lineRule="auto"/>
        <w:rPr>
          <w:color w:val="auto"/>
          <w:highlight w:val="none"/>
        </w:rPr>
      </w:pPr>
      <w:r>
        <w:rPr>
          <w:rFonts w:hint="eastAsia"/>
          <w:color w:val="auto"/>
          <w:highlight w:val="none"/>
        </w:rPr>
        <w:t>只有通过上述审查的供应商方有资格进入招标程序。</w:t>
      </w:r>
    </w:p>
    <w:p>
      <w:pPr>
        <w:spacing w:line="360" w:lineRule="auto"/>
        <w:rPr>
          <w:color w:val="auto"/>
          <w:highlight w:val="none"/>
        </w:rPr>
      </w:pPr>
      <w:r>
        <w:rPr>
          <w:rFonts w:hint="eastAsia"/>
          <w:color w:val="auto"/>
          <w:highlight w:val="none"/>
        </w:rPr>
        <w:t>十三、谈判程序</w:t>
      </w:r>
    </w:p>
    <w:p>
      <w:pPr>
        <w:spacing w:line="360" w:lineRule="auto"/>
        <w:rPr>
          <w:color w:val="auto"/>
          <w:highlight w:val="none"/>
        </w:rPr>
      </w:pPr>
      <w:r>
        <w:rPr>
          <w:rFonts w:hint="eastAsia"/>
          <w:color w:val="auto"/>
          <w:highlight w:val="none"/>
        </w:rPr>
        <w:t xml:space="preserve">（一）公开报价 </w:t>
      </w:r>
    </w:p>
    <w:p>
      <w:pPr>
        <w:spacing w:line="360" w:lineRule="auto"/>
        <w:rPr>
          <w:color w:val="auto"/>
          <w:highlight w:val="none"/>
        </w:rPr>
      </w:pPr>
      <w:r>
        <w:rPr>
          <w:rFonts w:hint="eastAsia"/>
          <w:color w:val="auto"/>
          <w:highlight w:val="none"/>
        </w:rPr>
        <w:t xml:space="preserve">1.采购人按谈判文件规定的时间、地点主持谈判，采购人代表、报价人代表及有关工作人员参加。 </w:t>
      </w:r>
    </w:p>
    <w:p>
      <w:pPr>
        <w:spacing w:line="360" w:lineRule="auto"/>
        <w:rPr>
          <w:color w:val="auto"/>
          <w:highlight w:val="none"/>
        </w:rPr>
      </w:pPr>
      <w:r>
        <w:rPr>
          <w:rFonts w:hint="eastAsia"/>
          <w:color w:val="auto"/>
          <w:highlight w:val="none"/>
        </w:rPr>
        <w:t xml:space="preserve">2.参加谈判的报价人代表应以视频会议出席的形式签到。 </w:t>
      </w:r>
    </w:p>
    <w:p>
      <w:pPr>
        <w:spacing w:line="360" w:lineRule="auto"/>
        <w:rPr>
          <w:color w:val="auto"/>
          <w:highlight w:val="none"/>
        </w:rPr>
      </w:pPr>
      <w:r>
        <w:rPr>
          <w:rFonts w:hint="eastAsia"/>
          <w:color w:val="auto"/>
          <w:highlight w:val="none"/>
        </w:rPr>
        <w:t xml:space="preserve">3.第一轮公开报价前当众查验所有报价文件的密封情况并报告查验结果，确认无误后由采购人代表拆封进行第一次公开报价。 </w:t>
      </w:r>
    </w:p>
    <w:p>
      <w:pPr>
        <w:spacing w:line="360" w:lineRule="auto"/>
        <w:rPr>
          <w:color w:val="auto"/>
          <w:highlight w:val="none"/>
        </w:rPr>
      </w:pPr>
      <w:r>
        <w:rPr>
          <w:rFonts w:hint="eastAsia"/>
          <w:color w:val="auto"/>
          <w:highlight w:val="none"/>
        </w:rPr>
        <w:t xml:space="preserve">4.第一轮公开报价将当众宣读报价人名称、报价价格，以及采购机构认为适当的其他内容。 </w:t>
      </w:r>
    </w:p>
    <w:p>
      <w:pPr>
        <w:spacing w:line="360" w:lineRule="auto"/>
        <w:rPr>
          <w:color w:val="auto"/>
          <w:highlight w:val="none"/>
        </w:rPr>
      </w:pPr>
      <w:r>
        <w:rPr>
          <w:rFonts w:hint="eastAsia"/>
          <w:color w:val="auto"/>
          <w:highlight w:val="none"/>
        </w:rPr>
        <w:t>5.采购人代表对第一轮报价做书面记录并在第一轮公开报价后要求报价人确认。</w:t>
      </w:r>
    </w:p>
    <w:p>
      <w:pPr>
        <w:spacing w:line="360" w:lineRule="auto"/>
        <w:rPr>
          <w:color w:val="auto"/>
          <w:highlight w:val="none"/>
        </w:rPr>
      </w:pPr>
      <w:r>
        <w:rPr>
          <w:rFonts w:hint="eastAsia"/>
          <w:color w:val="auto"/>
          <w:highlight w:val="none"/>
        </w:rPr>
        <w:t xml:space="preserve">（二）商务和技术谈判 </w:t>
      </w:r>
    </w:p>
    <w:p>
      <w:pPr>
        <w:spacing w:line="360" w:lineRule="auto"/>
        <w:rPr>
          <w:color w:val="auto"/>
          <w:highlight w:val="none"/>
        </w:rPr>
      </w:pPr>
      <w:r>
        <w:rPr>
          <w:rFonts w:hint="eastAsia"/>
          <w:color w:val="auto"/>
          <w:highlight w:val="none"/>
        </w:rPr>
        <w:t>1.谈判小组各评审专家在资格性、符合性审核之后，按照各报价人签到顺序与各报价人分别进行商务和技术谈判。</w:t>
      </w:r>
    </w:p>
    <w:p>
      <w:pPr>
        <w:spacing w:line="360" w:lineRule="auto"/>
        <w:rPr>
          <w:color w:val="auto"/>
          <w:highlight w:val="none"/>
        </w:rPr>
      </w:pPr>
      <w:r>
        <w:rPr>
          <w:rFonts w:hint="eastAsia"/>
          <w:color w:val="auto"/>
          <w:highlight w:val="none"/>
        </w:rPr>
        <w:t>2.谈判结束后，谈判小组结合谈判整体情况确定是否对采购项目的商务和技术要求进行统一调整，如有，应将调整意见通知所有参与谈判的报价人，并要求报价人做出响应承诺。</w:t>
      </w:r>
    </w:p>
    <w:p>
      <w:pPr>
        <w:spacing w:line="360" w:lineRule="auto"/>
        <w:rPr>
          <w:color w:val="auto"/>
          <w:highlight w:val="none"/>
        </w:rPr>
      </w:pPr>
      <w:r>
        <w:rPr>
          <w:rFonts w:hint="eastAsia"/>
          <w:color w:val="auto"/>
          <w:highlight w:val="none"/>
        </w:rPr>
        <w:t xml:space="preserve">（三）最终报价 </w:t>
      </w:r>
    </w:p>
    <w:p>
      <w:pPr>
        <w:spacing w:line="360" w:lineRule="auto"/>
        <w:rPr>
          <w:color w:val="auto"/>
          <w:highlight w:val="none"/>
        </w:rPr>
      </w:pPr>
      <w:r>
        <w:rPr>
          <w:rFonts w:hint="eastAsia"/>
          <w:color w:val="auto"/>
          <w:highlight w:val="none"/>
        </w:rPr>
        <w:t xml:space="preserve">各报价人以商务、技术谈判后的承诺为基础进行最终报价，报价人须在谈判小组确定的同一截止时间前将由其法定代表人或其授权代表签字后的最终报价扫描件发送至指定邮箱（邮件须注明报价人单位名称）。最终报价为不公开报价，不再向任何报价人公布报价情况。 </w:t>
      </w:r>
    </w:p>
    <w:p>
      <w:pPr>
        <w:spacing w:line="360" w:lineRule="auto"/>
        <w:rPr>
          <w:color w:val="auto"/>
          <w:highlight w:val="none"/>
        </w:rPr>
      </w:pPr>
      <w:r>
        <w:rPr>
          <w:rFonts w:hint="eastAsia"/>
          <w:color w:val="auto"/>
          <w:highlight w:val="none"/>
        </w:rPr>
        <w:t xml:space="preserve">（四）报价的澄清 </w:t>
      </w:r>
    </w:p>
    <w:p>
      <w:pPr>
        <w:spacing w:line="360" w:lineRule="auto"/>
        <w:rPr>
          <w:color w:val="auto"/>
          <w:highlight w:val="none"/>
        </w:rPr>
      </w:pPr>
      <w:r>
        <w:rPr>
          <w:rFonts w:hint="eastAsia"/>
          <w:color w:val="auto"/>
          <w:highlight w:val="none"/>
        </w:rPr>
        <w:t xml:space="preserve">谈判小组对各报价人的最终报价进行合理性审核，如谈判小组一致认为某个报价人的最终报价明显不合理，有降低质量、不能诚信履行的可能时，谈判小组有权决定是否通知报价人限期进行书面解释或提供相关证明材料。若已要求，而该报价人在规定期限内未做出解释、做出的解释不合理或不能提供证明材料的，谈判小组有权拒绝该报价。 </w:t>
      </w:r>
    </w:p>
    <w:p>
      <w:pPr>
        <w:spacing w:line="360" w:lineRule="auto"/>
        <w:rPr>
          <w:color w:val="auto"/>
          <w:highlight w:val="none"/>
        </w:rPr>
      </w:pPr>
      <w:r>
        <w:rPr>
          <w:rFonts w:hint="eastAsia"/>
          <w:color w:val="auto"/>
          <w:highlight w:val="none"/>
        </w:rPr>
        <w:t xml:space="preserve">（五）确定成交供应商 </w:t>
      </w:r>
    </w:p>
    <w:p>
      <w:pPr>
        <w:spacing w:line="360" w:lineRule="auto"/>
        <w:rPr>
          <w:color w:val="auto"/>
          <w:highlight w:val="none"/>
        </w:rPr>
      </w:pPr>
      <w:r>
        <w:rPr>
          <w:rFonts w:hint="eastAsia"/>
          <w:color w:val="auto"/>
          <w:highlight w:val="none"/>
        </w:rPr>
        <w:t xml:space="preserve">1.谈判小组根据技术谈判承诺、商务谈判承诺以及最终报价情况按顺序推荐1-3名报价人作为成交候选人。 </w:t>
      </w:r>
    </w:p>
    <w:p>
      <w:pPr>
        <w:spacing w:line="360" w:lineRule="auto"/>
        <w:rPr>
          <w:color w:val="auto"/>
          <w:highlight w:val="none"/>
        </w:rPr>
      </w:pPr>
      <w:r>
        <w:rPr>
          <w:rFonts w:hint="eastAsia"/>
          <w:color w:val="auto"/>
          <w:highlight w:val="none"/>
        </w:rPr>
        <w:t xml:space="preserve">2.本次谈判比照最低评审价法确定成交供应商，即在符合采购需求、质量和服务相等的前提下，以提出最低报价的供应商作为成交供应商，如出现同等最低报价的成交候选人，则确定推荐顺序靠前者作为成交供应商。 </w:t>
      </w:r>
    </w:p>
    <w:p>
      <w:pPr>
        <w:spacing w:line="360" w:lineRule="auto"/>
        <w:rPr>
          <w:color w:val="auto"/>
          <w:highlight w:val="none"/>
        </w:rPr>
      </w:pPr>
      <w:r>
        <w:rPr>
          <w:rFonts w:hint="eastAsia"/>
          <w:color w:val="auto"/>
          <w:highlight w:val="none"/>
        </w:rPr>
        <w:t>（六）保密要求</w:t>
      </w:r>
    </w:p>
    <w:p>
      <w:pPr>
        <w:spacing w:line="360" w:lineRule="auto"/>
        <w:rPr>
          <w:color w:val="auto"/>
          <w:highlight w:val="none"/>
        </w:rPr>
      </w:pPr>
      <w:r>
        <w:rPr>
          <w:rFonts w:hint="eastAsia"/>
          <w:color w:val="auto"/>
          <w:highlight w:val="none"/>
        </w:rPr>
        <w:t>谈判小组成员以及与评审工作有关的人员对评审情况以及评审过程中获悉的国家秘密、商业秘密应当保密。</w:t>
      </w:r>
    </w:p>
    <w:p>
      <w:pPr>
        <w:spacing w:line="360" w:lineRule="auto"/>
        <w:rPr>
          <w:color w:val="auto"/>
          <w:highlight w:val="none"/>
        </w:rPr>
      </w:pPr>
      <w:r>
        <w:rPr>
          <w:rFonts w:hint="eastAsia"/>
          <w:color w:val="auto"/>
          <w:highlight w:val="none"/>
        </w:rPr>
        <w:t>十四、</w:t>
      </w:r>
      <w:bookmarkStart w:id="15" w:name="_Toc491149597"/>
      <w:r>
        <w:rPr>
          <w:rFonts w:hint="eastAsia"/>
          <w:color w:val="auto"/>
          <w:highlight w:val="none"/>
        </w:rPr>
        <w:t>成交通知书</w:t>
      </w:r>
      <w:bookmarkEnd w:id="15"/>
    </w:p>
    <w:p>
      <w:pPr>
        <w:spacing w:line="360" w:lineRule="auto"/>
        <w:rPr>
          <w:color w:val="auto"/>
          <w:highlight w:val="none"/>
        </w:rPr>
      </w:pPr>
      <w:r>
        <w:rPr>
          <w:rFonts w:hint="eastAsia"/>
          <w:color w:val="auto"/>
          <w:highlight w:val="none"/>
        </w:rPr>
        <w:t>（一）在招标报价有效期内，采购人确定成交供应商后，向成交供应商发出“成交通知书”。</w:t>
      </w:r>
    </w:p>
    <w:p>
      <w:pPr>
        <w:spacing w:line="360" w:lineRule="auto"/>
        <w:rPr>
          <w:color w:val="auto"/>
          <w:highlight w:val="none"/>
        </w:rPr>
      </w:pPr>
      <w:r>
        <w:rPr>
          <w:rFonts w:hint="eastAsia"/>
          <w:color w:val="auto"/>
          <w:highlight w:val="none"/>
        </w:rPr>
        <w:t>（二）成交通知书对采购人和成交供应商具有法律效力。成交通知书发出后，采购人改变成交结果的，或者成交供应商放弃成交的，应当依法承担法律责任。</w:t>
      </w:r>
    </w:p>
    <w:p>
      <w:pPr>
        <w:spacing w:line="360" w:lineRule="auto"/>
        <w:rPr>
          <w:color w:val="auto"/>
          <w:highlight w:val="none"/>
        </w:rPr>
      </w:pPr>
      <w:r>
        <w:rPr>
          <w:rFonts w:hint="eastAsia"/>
          <w:color w:val="auto"/>
          <w:highlight w:val="none"/>
        </w:rPr>
        <w:t>（三）成交通知书将是合同的一个组成部分。</w:t>
      </w:r>
    </w:p>
    <w:p>
      <w:pPr>
        <w:spacing w:line="360" w:lineRule="auto"/>
        <w:rPr>
          <w:color w:val="auto"/>
          <w:highlight w:val="none"/>
        </w:rPr>
      </w:pPr>
      <w:r>
        <w:rPr>
          <w:rFonts w:hint="eastAsia"/>
          <w:color w:val="auto"/>
          <w:highlight w:val="none"/>
        </w:rPr>
        <w:t>（四）具体成交结果在海南海事局官方网站公布。</w:t>
      </w:r>
    </w:p>
    <w:p>
      <w:pPr>
        <w:spacing w:line="360" w:lineRule="auto"/>
        <w:rPr>
          <w:color w:val="auto"/>
          <w:highlight w:val="none"/>
        </w:rPr>
      </w:pPr>
      <w:bookmarkStart w:id="16" w:name="_Toc491149598"/>
      <w:r>
        <w:rPr>
          <w:rFonts w:hint="eastAsia"/>
          <w:color w:val="auto"/>
          <w:highlight w:val="none"/>
        </w:rPr>
        <w:t>十五、合同的签订</w:t>
      </w:r>
      <w:bookmarkEnd w:id="16"/>
    </w:p>
    <w:p>
      <w:pPr>
        <w:spacing w:line="360" w:lineRule="auto"/>
        <w:rPr>
          <w:color w:val="auto"/>
          <w:highlight w:val="none"/>
        </w:rPr>
      </w:pPr>
      <w:r>
        <w:rPr>
          <w:rFonts w:hint="eastAsia"/>
          <w:color w:val="auto"/>
          <w:highlight w:val="none"/>
        </w:rPr>
        <w:t>（一）成交供应商在收到成交通知书后应当按有关规定与采购人签订书面合同。招标文件、调整内容、投标响应文件及投标过程中的有关澄清、承诺及最终报价等招标过程中形成的有效文件确定的事项均为该书面合同的有效组成部分；</w:t>
      </w:r>
    </w:p>
    <w:p>
      <w:pPr>
        <w:spacing w:line="360" w:lineRule="auto"/>
        <w:rPr>
          <w:color w:val="auto"/>
          <w:highlight w:val="none"/>
        </w:rPr>
      </w:pPr>
      <w:r>
        <w:rPr>
          <w:rFonts w:hint="eastAsia"/>
          <w:color w:val="auto"/>
          <w:highlight w:val="none"/>
        </w:rPr>
        <w:t>（二）如果成交供应商无正当理由未在规定期间内签订合同，将承担相关法律责任。</w:t>
      </w:r>
    </w:p>
    <w:p>
      <w:pPr>
        <w:spacing w:line="360" w:lineRule="auto"/>
        <w:rPr>
          <w:color w:val="auto"/>
          <w:highlight w:val="none"/>
        </w:rPr>
      </w:pPr>
      <w:bookmarkStart w:id="17" w:name="_Toc491149599"/>
      <w:r>
        <w:rPr>
          <w:rFonts w:hint="eastAsia"/>
          <w:color w:val="auto"/>
          <w:highlight w:val="none"/>
        </w:rPr>
        <w:t>十六、招标有效期</w:t>
      </w:r>
    </w:p>
    <w:p>
      <w:pPr>
        <w:spacing w:line="360" w:lineRule="auto"/>
        <w:rPr>
          <w:color w:val="auto"/>
          <w:highlight w:val="none"/>
        </w:rPr>
      </w:pPr>
      <w:r>
        <w:rPr>
          <w:rFonts w:hint="eastAsia"/>
          <w:color w:val="auto"/>
          <w:highlight w:val="none"/>
        </w:rPr>
        <w:t>招标有效期为自递交投标响应文件之日起60个日历日。</w:t>
      </w:r>
      <w:bookmarkEnd w:id="17"/>
    </w:p>
    <w:p>
      <w:pPr>
        <w:spacing w:line="360" w:lineRule="auto"/>
        <w:rPr>
          <w:color w:val="auto"/>
          <w:highlight w:val="none"/>
        </w:rPr>
      </w:pPr>
      <w:bookmarkStart w:id="18" w:name="_Toc491149602"/>
      <w:r>
        <w:rPr>
          <w:rFonts w:hint="eastAsia"/>
          <w:color w:val="auto"/>
          <w:highlight w:val="none"/>
        </w:rPr>
        <w:t>十七、其他注意事项</w:t>
      </w:r>
      <w:bookmarkEnd w:id="18"/>
    </w:p>
    <w:p>
      <w:pPr>
        <w:spacing w:line="360" w:lineRule="auto"/>
        <w:rPr>
          <w:color w:val="auto"/>
          <w:highlight w:val="none"/>
        </w:rPr>
      </w:pPr>
      <w:r>
        <w:rPr>
          <w:rFonts w:hint="eastAsia"/>
          <w:color w:val="auto"/>
          <w:highlight w:val="none"/>
        </w:rPr>
        <w:t>（一）供应商被视为充分熟悉本招标采购项目的技术要求及与履行合同有关的一切情况；</w:t>
      </w:r>
    </w:p>
    <w:p>
      <w:pPr>
        <w:spacing w:line="360" w:lineRule="auto"/>
        <w:rPr>
          <w:color w:val="auto"/>
          <w:highlight w:val="none"/>
        </w:rPr>
      </w:pPr>
      <w:r>
        <w:rPr>
          <w:rFonts w:hint="eastAsia"/>
          <w:color w:val="auto"/>
          <w:highlight w:val="none"/>
        </w:rPr>
        <w:t>（二）供应商应遵守我国与政府采购相关的法律、法规及规章条例，不得违反；</w:t>
      </w:r>
    </w:p>
    <w:p>
      <w:pPr>
        <w:spacing w:line="360" w:lineRule="auto"/>
        <w:rPr>
          <w:color w:val="auto"/>
          <w:highlight w:val="none"/>
        </w:rPr>
      </w:pPr>
      <w:r>
        <w:rPr>
          <w:rFonts w:hint="eastAsia"/>
          <w:color w:val="auto"/>
          <w:highlight w:val="none"/>
        </w:rPr>
        <w:t>（三）供应商应详细阅读竞争性谈判采购文件的全部内容。不按采购文件的要求提供的报价和资料，可能导致投标响应文件被拒绝。</w:t>
      </w:r>
    </w:p>
    <w:p>
      <w:r>
        <w:br w:type="page"/>
      </w:r>
    </w:p>
    <w:p/>
    <w:p/>
    <w:p/>
    <w:p>
      <w:pPr>
        <w:pStyle w:val="3"/>
        <w:ind w:firstLine="883"/>
        <w:jc w:val="center"/>
        <w:rPr>
          <w:bCs w:val="0"/>
        </w:rPr>
      </w:pPr>
      <w:bookmarkStart w:id="19" w:name="_Toc18941"/>
      <w:bookmarkStart w:id="20" w:name="_Toc491149603"/>
      <w:r>
        <w:rPr>
          <w:rFonts w:hint="eastAsia"/>
          <w:bCs w:val="0"/>
        </w:rPr>
        <w:t xml:space="preserve">第二章 </w:t>
      </w:r>
      <w:r>
        <w:rPr>
          <w:rFonts w:hint="eastAsia"/>
        </w:rPr>
        <w:t>合同条款及合同格式</w:t>
      </w:r>
      <w:bookmarkEnd w:id="19"/>
      <w:bookmarkEnd w:id="20"/>
    </w:p>
    <w:p>
      <w:pPr>
        <w:spacing w:line="240" w:lineRule="auto"/>
        <w:ind w:firstLine="883"/>
        <w:rPr>
          <w:b/>
          <w:bCs/>
          <w:sz w:val="32"/>
        </w:rPr>
      </w:pPr>
      <w:r>
        <w:rPr>
          <w:b/>
          <w:bCs/>
          <w:sz w:val="44"/>
        </w:rPr>
        <w:br w:type="page"/>
      </w:r>
      <w:r>
        <w:rPr>
          <w:rFonts w:hint="eastAsia"/>
          <w:b/>
          <w:bCs/>
          <w:sz w:val="32"/>
        </w:rPr>
        <w:t>合同登记编号：</w:t>
      </w:r>
    </w:p>
    <w:p>
      <w:pPr>
        <w:ind w:firstLine="640"/>
        <w:jc w:val="center"/>
        <w:rPr>
          <w:sz w:val="32"/>
        </w:rPr>
      </w:pPr>
    </w:p>
    <w:p>
      <w:pPr>
        <w:ind w:firstLine="640"/>
        <w:rPr>
          <w:sz w:val="32"/>
        </w:rPr>
      </w:pPr>
    </w:p>
    <w:p>
      <w:pPr>
        <w:ind w:firstLine="640"/>
        <w:rPr>
          <w:sz w:val="32"/>
        </w:rPr>
      </w:pPr>
    </w:p>
    <w:p>
      <w:pPr>
        <w:pStyle w:val="49"/>
        <w:rPr>
          <w:rFonts w:ascii="宋体" w:hAnsi="宋体"/>
        </w:rPr>
      </w:pPr>
    </w:p>
    <w:p>
      <w:pPr>
        <w:pStyle w:val="49"/>
        <w:rPr>
          <w:rFonts w:ascii="宋体" w:hAnsi="宋体"/>
        </w:rPr>
      </w:pPr>
    </w:p>
    <w:p>
      <w:pPr>
        <w:pStyle w:val="49"/>
        <w:rPr>
          <w:rFonts w:ascii="宋体" w:hAnsi="宋体"/>
        </w:rPr>
      </w:pPr>
    </w:p>
    <w:p>
      <w:pPr>
        <w:pStyle w:val="49"/>
        <w:ind w:firstLine="1715"/>
        <w:rPr>
          <w:rFonts w:ascii="宋体" w:hAnsi="宋体"/>
          <w:b/>
          <w:bCs/>
          <w:spacing w:val="208"/>
          <w:sz w:val="44"/>
          <w:szCs w:val="24"/>
        </w:rPr>
      </w:pPr>
    </w:p>
    <w:p>
      <w:pPr>
        <w:ind w:firstLine="883"/>
        <w:jc w:val="center"/>
        <w:rPr>
          <w:rFonts w:cs="黑体"/>
          <w:b/>
          <w:bCs/>
          <w:sz w:val="44"/>
          <w:szCs w:val="44"/>
        </w:rPr>
      </w:pPr>
      <w:r>
        <w:rPr>
          <w:rFonts w:hint="eastAsia" w:cs="黑体"/>
          <w:b/>
          <w:bCs/>
          <w:sz w:val="44"/>
          <w:szCs w:val="44"/>
        </w:rPr>
        <w:t>海南自由贸易港船员考试</w:t>
      </w:r>
    </w:p>
    <w:p>
      <w:pPr>
        <w:ind w:firstLine="883"/>
        <w:jc w:val="center"/>
        <w:rPr>
          <w:rFonts w:cs="黑体"/>
          <w:b/>
          <w:bCs/>
          <w:sz w:val="44"/>
          <w:szCs w:val="44"/>
        </w:rPr>
      </w:pPr>
      <w:r>
        <w:rPr>
          <w:rFonts w:hint="eastAsia" w:cs="黑体"/>
          <w:b/>
          <w:bCs/>
          <w:sz w:val="44"/>
          <w:szCs w:val="44"/>
        </w:rPr>
        <w:t>英文题库建设合同</w:t>
      </w:r>
    </w:p>
    <w:p>
      <w:pPr>
        <w:pStyle w:val="72"/>
        <w:ind w:firstLine="0" w:firstLineChars="0"/>
        <w:jc w:val="left"/>
        <w:rPr>
          <w:rFonts w:ascii="宋体" w:hAnsi="宋体"/>
          <w:sz w:val="36"/>
        </w:rPr>
      </w:pPr>
    </w:p>
    <w:p>
      <w:pPr>
        <w:ind w:firstLine="640"/>
        <w:rPr>
          <w:sz w:val="32"/>
        </w:rPr>
      </w:pPr>
    </w:p>
    <w:p>
      <w:pPr>
        <w:ind w:firstLine="640"/>
        <w:rPr>
          <w:sz w:val="32"/>
        </w:rPr>
      </w:pPr>
    </w:p>
    <w:p>
      <w:pPr>
        <w:ind w:firstLine="640"/>
        <w:rPr>
          <w:sz w:val="32"/>
        </w:rPr>
      </w:pPr>
    </w:p>
    <w:tbl>
      <w:tblPr>
        <w:tblStyle w:val="34"/>
        <w:tblpPr w:leftFromText="180" w:rightFromText="180" w:vertAnchor="text" w:horzAnchor="page" w:tblpX="1493" w:tblpY="2027"/>
        <w:tblOverlap w:val="never"/>
        <w:tblW w:w="9400" w:type="dxa"/>
        <w:tblInd w:w="0" w:type="dxa"/>
        <w:tblLayout w:type="fixed"/>
        <w:tblCellMar>
          <w:top w:w="0" w:type="dxa"/>
          <w:left w:w="108" w:type="dxa"/>
          <w:bottom w:w="0" w:type="dxa"/>
          <w:right w:w="108" w:type="dxa"/>
        </w:tblCellMar>
      </w:tblPr>
      <w:tblGrid>
        <w:gridCol w:w="1948"/>
        <w:gridCol w:w="7452"/>
      </w:tblGrid>
      <w:tr>
        <w:tblPrEx>
          <w:tblCellMar>
            <w:top w:w="0" w:type="dxa"/>
            <w:left w:w="108" w:type="dxa"/>
            <w:bottom w:w="0" w:type="dxa"/>
            <w:right w:w="108" w:type="dxa"/>
          </w:tblCellMar>
        </w:tblPrEx>
        <w:trPr>
          <w:trHeight w:val="575" w:hRule="atLeast"/>
        </w:trPr>
        <w:tc>
          <w:tcPr>
            <w:tcW w:w="1948" w:type="dxa"/>
          </w:tcPr>
          <w:p>
            <w:pPr>
              <w:ind w:firstLine="0" w:firstLineChars="0"/>
              <w:jc w:val="left"/>
              <w:rPr>
                <w:sz w:val="32"/>
              </w:rPr>
            </w:pPr>
            <w:r>
              <w:rPr>
                <w:rFonts w:hint="eastAsia"/>
                <w:sz w:val="32"/>
              </w:rPr>
              <w:t>甲方：</w:t>
            </w:r>
          </w:p>
        </w:tc>
        <w:tc>
          <w:tcPr>
            <w:tcW w:w="7452" w:type="dxa"/>
            <w:tcBorders>
              <w:top w:val="nil"/>
              <w:bottom w:val="single" w:color="auto" w:sz="4" w:space="0"/>
            </w:tcBorders>
            <w:vAlign w:val="center"/>
          </w:tcPr>
          <w:p>
            <w:pPr>
              <w:ind w:firstLine="640"/>
              <w:jc w:val="center"/>
              <w:rPr>
                <w:sz w:val="32"/>
              </w:rPr>
            </w:pPr>
            <w:r>
              <w:rPr>
                <w:rFonts w:hint="eastAsia"/>
                <w:sz w:val="32"/>
              </w:rPr>
              <w:t>中华人民共和国海南海事局</w:t>
            </w:r>
          </w:p>
        </w:tc>
      </w:tr>
      <w:tr>
        <w:tblPrEx>
          <w:tblCellMar>
            <w:top w:w="0" w:type="dxa"/>
            <w:left w:w="108" w:type="dxa"/>
            <w:bottom w:w="0" w:type="dxa"/>
            <w:right w:w="108" w:type="dxa"/>
          </w:tblCellMar>
        </w:tblPrEx>
        <w:trPr>
          <w:trHeight w:val="731" w:hRule="atLeast"/>
        </w:trPr>
        <w:tc>
          <w:tcPr>
            <w:tcW w:w="1948" w:type="dxa"/>
          </w:tcPr>
          <w:p>
            <w:pPr>
              <w:ind w:firstLine="0" w:firstLineChars="0"/>
              <w:jc w:val="left"/>
              <w:rPr>
                <w:sz w:val="32"/>
              </w:rPr>
            </w:pPr>
            <w:r>
              <w:rPr>
                <w:rFonts w:hint="eastAsia"/>
                <w:sz w:val="32"/>
              </w:rPr>
              <w:t>乙方：</w:t>
            </w:r>
          </w:p>
        </w:tc>
        <w:tc>
          <w:tcPr>
            <w:tcW w:w="7452" w:type="dxa"/>
            <w:tcBorders>
              <w:top w:val="single" w:color="auto" w:sz="4" w:space="0"/>
              <w:bottom w:val="single" w:color="auto" w:sz="4" w:space="0"/>
            </w:tcBorders>
            <w:vAlign w:val="center"/>
          </w:tcPr>
          <w:p>
            <w:pPr>
              <w:ind w:firstLine="640"/>
              <w:jc w:val="center"/>
              <w:rPr>
                <w:sz w:val="32"/>
              </w:rPr>
            </w:pPr>
          </w:p>
        </w:tc>
      </w:tr>
      <w:tr>
        <w:tblPrEx>
          <w:tblCellMar>
            <w:top w:w="0" w:type="dxa"/>
            <w:left w:w="108" w:type="dxa"/>
            <w:bottom w:w="0" w:type="dxa"/>
            <w:right w:w="108" w:type="dxa"/>
          </w:tblCellMar>
        </w:tblPrEx>
        <w:trPr>
          <w:trHeight w:val="812" w:hRule="atLeast"/>
        </w:trPr>
        <w:tc>
          <w:tcPr>
            <w:tcW w:w="1948" w:type="dxa"/>
          </w:tcPr>
          <w:p>
            <w:pPr>
              <w:ind w:firstLine="0" w:firstLineChars="0"/>
              <w:jc w:val="left"/>
              <w:rPr>
                <w:sz w:val="32"/>
              </w:rPr>
            </w:pPr>
            <w:r>
              <w:rPr>
                <w:rFonts w:hint="eastAsia"/>
                <w:sz w:val="32"/>
              </w:rPr>
              <w:t>签订地点：</w:t>
            </w:r>
          </w:p>
        </w:tc>
        <w:tc>
          <w:tcPr>
            <w:tcW w:w="7452" w:type="dxa"/>
            <w:tcBorders>
              <w:top w:val="single" w:color="auto" w:sz="4" w:space="0"/>
              <w:bottom w:val="single" w:color="auto" w:sz="4" w:space="0"/>
            </w:tcBorders>
            <w:vAlign w:val="center"/>
          </w:tcPr>
          <w:p>
            <w:pPr>
              <w:ind w:firstLine="640"/>
              <w:jc w:val="center"/>
              <w:rPr>
                <w:sz w:val="32"/>
              </w:rPr>
            </w:pPr>
            <w:r>
              <w:rPr>
                <w:rFonts w:hint="eastAsia"/>
                <w:sz w:val="32"/>
              </w:rPr>
              <w:t>海南</w:t>
            </w:r>
          </w:p>
        </w:tc>
      </w:tr>
      <w:tr>
        <w:tblPrEx>
          <w:tblCellMar>
            <w:top w:w="0" w:type="dxa"/>
            <w:left w:w="108" w:type="dxa"/>
            <w:bottom w:w="0" w:type="dxa"/>
            <w:right w:w="108" w:type="dxa"/>
          </w:tblCellMar>
        </w:tblPrEx>
        <w:trPr>
          <w:trHeight w:val="790" w:hRule="atLeast"/>
        </w:trPr>
        <w:tc>
          <w:tcPr>
            <w:tcW w:w="1948" w:type="dxa"/>
          </w:tcPr>
          <w:p>
            <w:pPr>
              <w:ind w:firstLine="0" w:firstLineChars="0"/>
              <w:jc w:val="left"/>
              <w:rPr>
                <w:sz w:val="32"/>
              </w:rPr>
            </w:pPr>
            <w:r>
              <w:rPr>
                <w:rFonts w:hint="eastAsia"/>
                <w:sz w:val="32"/>
              </w:rPr>
              <w:t>签订日期：</w:t>
            </w:r>
          </w:p>
        </w:tc>
        <w:tc>
          <w:tcPr>
            <w:tcW w:w="7452" w:type="dxa"/>
            <w:tcBorders>
              <w:top w:val="single" w:color="auto" w:sz="4" w:space="0"/>
              <w:bottom w:val="single" w:color="auto" w:sz="4" w:space="0"/>
            </w:tcBorders>
            <w:vAlign w:val="center"/>
          </w:tcPr>
          <w:p>
            <w:pPr>
              <w:ind w:firstLine="640"/>
              <w:jc w:val="center"/>
              <w:rPr>
                <w:sz w:val="32"/>
              </w:rPr>
            </w:pPr>
            <w:r>
              <w:rPr>
                <w:rFonts w:hint="eastAsia"/>
                <w:sz w:val="32"/>
              </w:rPr>
              <w:t>20</w:t>
            </w:r>
            <w:r>
              <w:rPr>
                <w:sz w:val="32"/>
              </w:rPr>
              <w:t>22</w:t>
            </w:r>
            <w:r>
              <w:rPr>
                <w:rFonts w:hint="eastAsia"/>
                <w:sz w:val="32"/>
              </w:rPr>
              <w:t>年*月</w:t>
            </w:r>
          </w:p>
        </w:tc>
      </w:tr>
    </w:tbl>
    <w:p>
      <w:pPr>
        <w:ind w:firstLine="912"/>
        <w:jc w:val="center"/>
        <w:rPr>
          <w:spacing w:val="68"/>
          <w:sz w:val="32"/>
        </w:rPr>
        <w:sectPr>
          <w:footerReference r:id="rId13" w:type="first"/>
          <w:pgSz w:w="11906" w:h="16838"/>
          <w:pgMar w:top="1418" w:right="1361" w:bottom="1361" w:left="1361" w:header="851" w:footer="992" w:gutter="0"/>
          <w:pgNumType w:start="1"/>
          <w:cols w:space="720" w:num="1"/>
          <w:titlePg/>
          <w:docGrid w:type="lines" w:linePitch="312" w:charSpace="0"/>
        </w:sectPr>
      </w:pPr>
    </w:p>
    <w:p>
      <w:pPr>
        <w:ind w:firstLine="562"/>
        <w:jc w:val="center"/>
        <w:rPr>
          <w:b/>
        </w:rPr>
      </w:pPr>
      <w:bookmarkStart w:id="21" w:name="_Toc435449100"/>
      <w:bookmarkStart w:id="22" w:name="_Toc436210165"/>
      <w:r>
        <w:rPr>
          <w:rFonts w:hint="eastAsia"/>
          <w:b/>
        </w:rPr>
        <w:t>合同条款</w:t>
      </w:r>
      <w:bookmarkEnd w:id="21"/>
      <w:bookmarkEnd w:id="22"/>
    </w:p>
    <w:p>
      <w:pPr>
        <w:spacing w:line="324" w:lineRule="auto"/>
        <w:rPr>
          <w:rFonts w:cs="仿宋"/>
        </w:rPr>
      </w:pPr>
      <w:r>
        <w:rPr>
          <w:rFonts w:hint="eastAsia" w:cs="仿宋"/>
        </w:rPr>
        <w:t>依据《中华人民共和国民法典》的规定，</w:t>
      </w:r>
      <w:r>
        <w:rPr>
          <w:rFonts w:hint="eastAsia" w:cs="仿宋"/>
          <w:u w:val="single"/>
        </w:rPr>
        <w:t>海南海事局</w:t>
      </w:r>
      <w:r>
        <w:rPr>
          <w:rFonts w:hint="eastAsia" w:cs="仿宋"/>
        </w:rPr>
        <w:t>（甲方）与</w:t>
      </w:r>
      <w:r>
        <w:rPr>
          <w:rFonts w:hint="eastAsia" w:cs="仿宋"/>
          <w:u w:val="single"/>
        </w:rPr>
        <w:t>******</w:t>
      </w:r>
      <w:r>
        <w:rPr>
          <w:rFonts w:hint="eastAsia" w:cs="仿宋"/>
        </w:rPr>
        <w:t>（乙方），经协商达成一致，就</w:t>
      </w:r>
      <w:r>
        <w:rPr>
          <w:rFonts w:hint="eastAsia" w:cs="仿宋"/>
          <w:u w:val="single"/>
        </w:rPr>
        <w:t>海南自由贸易港船员考试英文题库建设</w:t>
      </w:r>
      <w:r>
        <w:rPr>
          <w:rFonts w:hint="eastAsia" w:cs="仿宋"/>
        </w:rPr>
        <w:t>，自愿订立本合同，遵循公平原则明确双方的权利、义务，确保双方诚实守信地履行合同。</w:t>
      </w:r>
    </w:p>
    <w:p>
      <w:pPr>
        <w:pStyle w:val="4"/>
        <w:rPr>
          <w:rFonts w:eastAsia="宋体"/>
          <w:sz w:val="28"/>
          <w:szCs w:val="28"/>
        </w:rPr>
      </w:pPr>
      <w:bookmarkStart w:id="23" w:name="_Toc16642"/>
      <w:r>
        <w:rPr>
          <w:rFonts w:hint="eastAsia" w:eastAsia="宋体"/>
          <w:sz w:val="28"/>
          <w:szCs w:val="28"/>
        </w:rPr>
        <w:t>一、名词解释</w:t>
      </w:r>
      <w:bookmarkEnd w:id="23"/>
    </w:p>
    <w:p>
      <w:pPr>
        <w:spacing w:line="324" w:lineRule="auto"/>
        <w:rPr>
          <w:rFonts w:cs="仿宋"/>
        </w:rPr>
      </w:pPr>
      <w:r>
        <w:rPr>
          <w:rFonts w:hint="eastAsia" w:cs="仿宋"/>
        </w:rPr>
        <w:t>1.考试服务：是指乙方为甲方针对外国籍船员考试从题库建设到整个考试过程提供专业的技术服务，包括题库建设和配套考试系统的改造开发和部署，保障外国籍船员考试正常运行和解决考试过程中的应急事件等服务工作的总称。</w:t>
      </w:r>
    </w:p>
    <w:p>
      <w:pPr>
        <w:spacing w:line="324" w:lineRule="auto"/>
        <w:rPr>
          <w:rFonts w:cs="仿宋"/>
        </w:rPr>
      </w:pPr>
      <w:r>
        <w:rPr>
          <w:rFonts w:hint="eastAsia" w:cs="仿宋"/>
        </w:rPr>
        <w:t>2.技术支持：是指乙方为保障外国籍船员考试工作正常运行，在服务时间内通过电话或互联网向甲方及考试相关服务对象提供援助或技术指导。其中网上技术支持是指乙方通过互联网、海事内网等媒介，对考试业务处理过程汇总出现的问题，技术操作问题等解答甲方及考试相关服务对象问题，并在网上发布相关技术解决问题的过程。</w:t>
      </w:r>
    </w:p>
    <w:p>
      <w:pPr>
        <w:spacing w:line="324" w:lineRule="auto"/>
        <w:rPr>
          <w:rFonts w:cs="仿宋"/>
          <w:highlight w:val="none"/>
        </w:rPr>
      </w:pPr>
      <w:r>
        <w:rPr>
          <w:rFonts w:hint="eastAsia" w:cs="仿宋"/>
        </w:rPr>
        <w:t>3.响应时间：</w:t>
      </w:r>
      <w:r>
        <w:rPr>
          <w:rFonts w:hint="eastAsia" w:cs="仿宋"/>
          <w:highlight w:val="none"/>
        </w:rPr>
        <w:t>是指从乙方接到甲方服务请求之后，</w:t>
      </w:r>
      <w:r>
        <w:rPr>
          <w:rFonts w:hint="eastAsia" w:cs="仿宋"/>
          <w:b w:val="0"/>
          <w:bCs w:val="0"/>
          <w:color w:val="auto"/>
          <w:highlight w:val="none"/>
        </w:rPr>
        <w:t>2</w:t>
      </w:r>
      <w:r>
        <w:rPr>
          <w:rFonts w:cs="仿宋"/>
          <w:b w:val="0"/>
          <w:bCs w:val="0"/>
          <w:color w:val="auto"/>
          <w:highlight w:val="none"/>
        </w:rPr>
        <w:t>4</w:t>
      </w:r>
      <w:r>
        <w:rPr>
          <w:rFonts w:hint="eastAsia" w:cs="仿宋"/>
          <w:b w:val="0"/>
          <w:bCs w:val="0"/>
          <w:color w:val="auto"/>
          <w:highlight w:val="none"/>
        </w:rPr>
        <w:t>小时内</w:t>
      </w:r>
      <w:r>
        <w:rPr>
          <w:rFonts w:hint="eastAsia" w:cs="仿宋"/>
          <w:highlight w:val="none"/>
        </w:rPr>
        <w:t>与甲方进行沟通并对甲方做出服务承诺的时间。</w:t>
      </w:r>
    </w:p>
    <w:p>
      <w:pPr>
        <w:pStyle w:val="4"/>
        <w:rPr>
          <w:rFonts w:eastAsia="宋体"/>
          <w:sz w:val="28"/>
          <w:szCs w:val="28"/>
        </w:rPr>
      </w:pPr>
      <w:bookmarkStart w:id="24" w:name="_Toc24263"/>
      <w:r>
        <w:rPr>
          <w:rFonts w:hint="eastAsia" w:eastAsia="宋体"/>
          <w:sz w:val="28"/>
          <w:szCs w:val="28"/>
        </w:rPr>
        <w:t>二、合同文件</w:t>
      </w:r>
      <w:bookmarkEnd w:id="24"/>
    </w:p>
    <w:p>
      <w:pPr>
        <w:spacing w:line="324" w:lineRule="auto"/>
        <w:rPr>
          <w:rFonts w:cs="仿宋"/>
        </w:rPr>
      </w:pPr>
      <w:r>
        <w:rPr>
          <w:rFonts w:hint="eastAsia" w:cs="仿宋"/>
        </w:rPr>
        <w:t>下列文件构成本合同的组成部分，是一个整体，彼此相互解释，相互补充。组成合同的多个文件的优先支配地位的次序如下：</w:t>
      </w:r>
    </w:p>
    <w:p>
      <w:pPr>
        <w:spacing w:line="324" w:lineRule="auto"/>
        <w:rPr>
          <w:rFonts w:cs="仿宋"/>
        </w:rPr>
      </w:pPr>
      <w:r>
        <w:rPr>
          <w:rFonts w:hint="eastAsia" w:cs="仿宋"/>
        </w:rPr>
        <w:t>1.双方商定的补充协议或经双方签署的备忘录（如果有）</w:t>
      </w:r>
    </w:p>
    <w:p>
      <w:pPr>
        <w:spacing w:line="324" w:lineRule="auto"/>
        <w:rPr>
          <w:rFonts w:cs="仿宋"/>
        </w:rPr>
      </w:pPr>
      <w:r>
        <w:rPr>
          <w:rFonts w:hint="eastAsia" w:cs="仿宋"/>
        </w:rPr>
        <w:t>2.合同条款</w:t>
      </w:r>
    </w:p>
    <w:p>
      <w:pPr>
        <w:spacing w:line="324" w:lineRule="auto"/>
        <w:rPr>
          <w:rFonts w:cs="仿宋"/>
        </w:rPr>
      </w:pPr>
      <w:r>
        <w:rPr>
          <w:rFonts w:hint="eastAsia" w:cs="仿宋"/>
        </w:rPr>
        <w:t>3.招投标文件</w:t>
      </w:r>
    </w:p>
    <w:p>
      <w:pPr>
        <w:spacing w:line="324" w:lineRule="auto"/>
        <w:rPr>
          <w:rFonts w:cs="仿宋"/>
        </w:rPr>
      </w:pPr>
      <w:r>
        <w:rPr>
          <w:rFonts w:cs="仿宋"/>
        </w:rPr>
        <w:t>4</w:t>
      </w:r>
      <w:r>
        <w:rPr>
          <w:rFonts w:hint="eastAsia" w:cs="仿宋"/>
        </w:rPr>
        <w:t>.服务方案</w:t>
      </w:r>
    </w:p>
    <w:p>
      <w:pPr>
        <w:spacing w:line="324" w:lineRule="auto"/>
        <w:rPr>
          <w:rFonts w:cs="仿宋"/>
        </w:rPr>
      </w:pPr>
      <w:r>
        <w:rPr>
          <w:rFonts w:cs="仿宋"/>
        </w:rPr>
        <w:t>5</w:t>
      </w:r>
      <w:r>
        <w:rPr>
          <w:rFonts w:hint="eastAsia" w:cs="仿宋"/>
        </w:rPr>
        <w:t>.与本合同有关的其他文件</w:t>
      </w:r>
    </w:p>
    <w:p>
      <w:pPr>
        <w:pStyle w:val="4"/>
        <w:rPr>
          <w:rFonts w:eastAsia="宋体"/>
          <w:sz w:val="28"/>
          <w:szCs w:val="28"/>
        </w:rPr>
      </w:pPr>
      <w:bookmarkStart w:id="25" w:name="_Toc10348"/>
      <w:r>
        <w:rPr>
          <w:rFonts w:hint="eastAsia" w:eastAsia="宋体"/>
          <w:sz w:val="28"/>
          <w:szCs w:val="28"/>
        </w:rPr>
        <w:t>三、服务要求</w:t>
      </w:r>
      <w:bookmarkEnd w:id="25"/>
    </w:p>
    <w:p>
      <w:pPr>
        <w:spacing w:line="324" w:lineRule="auto"/>
        <w:rPr>
          <w:rFonts w:cs="仿宋"/>
        </w:rPr>
      </w:pPr>
      <w:r>
        <w:rPr>
          <w:rFonts w:cs="仿宋"/>
        </w:rPr>
        <w:t>乙方应建立与考试服务相适应的工作机制</w:t>
      </w:r>
      <w:r>
        <w:rPr>
          <w:rFonts w:hint="eastAsia" w:cs="仿宋"/>
        </w:rPr>
        <w:t>，提供满足考试需要的服务内容，具体要求如下：</w:t>
      </w:r>
    </w:p>
    <w:p>
      <w:pPr>
        <w:spacing w:line="324" w:lineRule="auto"/>
        <w:rPr>
          <w:rFonts w:cs="仿宋"/>
        </w:rPr>
      </w:pPr>
      <w:r>
        <w:rPr>
          <w:rFonts w:hint="eastAsia" w:cs="仿宋"/>
        </w:rPr>
        <w:t>1）遵循考试相关规范：考试题库维护需要完全按照培训大纲的要求，保证所有内容有出处，有依据，保证试题的专业性、适用性、实践性，能够真正考核船员的实际素质。</w:t>
      </w:r>
    </w:p>
    <w:p>
      <w:pPr>
        <w:spacing w:line="324" w:lineRule="auto"/>
        <w:rPr>
          <w:rFonts w:cs="仿宋"/>
        </w:rPr>
      </w:pPr>
      <w:r>
        <w:rPr>
          <w:rFonts w:cs="仿宋"/>
        </w:rPr>
        <w:t>2</w:t>
      </w:r>
      <w:r>
        <w:rPr>
          <w:rFonts w:hint="eastAsia" w:cs="仿宋"/>
        </w:rPr>
        <w:t>）建立完善的技术服务保障体系：整个服务体系必须以保障考试业务系统的正常运行为中心，快速响应业务用户请求，及时回应、解决操作过程中以及系统运行过程中所出现的问题，确保系统的正常运行；</w:t>
      </w:r>
    </w:p>
    <w:p>
      <w:pPr>
        <w:spacing w:line="324" w:lineRule="auto"/>
        <w:rPr>
          <w:rFonts w:cs="仿宋"/>
        </w:rPr>
      </w:pPr>
      <w:r>
        <w:rPr>
          <w:rFonts w:cs="仿宋"/>
        </w:rPr>
        <w:t>3</w:t>
      </w:r>
      <w:r>
        <w:rPr>
          <w:rFonts w:hint="eastAsia" w:cs="仿宋"/>
        </w:rPr>
        <w:t>）具备高效的考试管理渠道和应急措施、保障能力：能按照计划与方案开展相关考试工作，在过程中能够有效控制各种风险，对于考试服务过程与结果应向采购方进行报告和反馈等；</w:t>
      </w:r>
    </w:p>
    <w:p>
      <w:pPr>
        <w:spacing w:line="324" w:lineRule="auto"/>
        <w:rPr>
          <w:rFonts w:cs="仿宋"/>
        </w:rPr>
      </w:pPr>
      <w:r>
        <w:rPr>
          <w:rFonts w:cs="仿宋"/>
        </w:rPr>
        <w:t>4</w:t>
      </w:r>
      <w:r>
        <w:rPr>
          <w:rFonts w:hint="eastAsia" w:cs="仿宋"/>
        </w:rPr>
        <w:t>）</w:t>
      </w:r>
      <w:r>
        <w:rPr>
          <w:rFonts w:cs="仿宋"/>
        </w:rPr>
        <w:t>保证考试业务的全面覆盖</w:t>
      </w:r>
      <w:r>
        <w:rPr>
          <w:rFonts w:hint="eastAsia" w:cs="仿宋"/>
        </w:rPr>
        <w:t>，</w:t>
      </w:r>
      <w:r>
        <w:rPr>
          <w:rFonts w:cs="仿宋"/>
        </w:rPr>
        <w:t>服务内容和服务能力满足外国籍船员考试总体需要</w:t>
      </w:r>
      <w:r>
        <w:rPr>
          <w:rFonts w:hint="eastAsia" w:cs="仿宋"/>
        </w:rPr>
        <w:t>，</w:t>
      </w:r>
      <w:r>
        <w:rPr>
          <w:rFonts w:cs="仿宋"/>
        </w:rPr>
        <w:t>保证考试顺利开展</w:t>
      </w:r>
      <w:r>
        <w:rPr>
          <w:rFonts w:hint="eastAsia" w:cs="仿宋"/>
        </w:rPr>
        <w:t>；</w:t>
      </w:r>
    </w:p>
    <w:p>
      <w:pPr>
        <w:spacing w:line="324" w:lineRule="auto"/>
        <w:rPr>
          <w:rFonts w:cs="仿宋"/>
        </w:rPr>
      </w:pPr>
      <w:r>
        <w:rPr>
          <w:rFonts w:cs="仿宋"/>
        </w:rPr>
        <w:t>5</w:t>
      </w:r>
      <w:r>
        <w:rPr>
          <w:rFonts w:hint="eastAsia" w:cs="仿宋"/>
        </w:rPr>
        <w:t>）参与考试工作的人员要严格遵守采购方的各项管理规章制度，有责任保护外国籍船员考试系统的数据资料安全，并对甲方采购的题库维护服务、考试大纲和考试双向细目表评估及分析服务等进行保密。</w:t>
      </w:r>
    </w:p>
    <w:p>
      <w:pPr>
        <w:spacing w:line="324" w:lineRule="auto"/>
        <w:rPr>
          <w:rFonts w:cs="仿宋"/>
        </w:rPr>
      </w:pPr>
      <w:r>
        <w:rPr>
          <w:rFonts w:hint="eastAsia" w:cs="仿宋"/>
        </w:rPr>
        <w:t>乙方应当充分保证以上要求从而使考试服务保质、按期、高效、节约地完成。</w:t>
      </w:r>
    </w:p>
    <w:p>
      <w:pPr>
        <w:pStyle w:val="4"/>
        <w:rPr>
          <w:rFonts w:eastAsia="宋体"/>
          <w:sz w:val="28"/>
          <w:szCs w:val="28"/>
        </w:rPr>
      </w:pPr>
      <w:bookmarkStart w:id="26" w:name="_Toc8274"/>
      <w:r>
        <w:rPr>
          <w:rFonts w:hint="eastAsia" w:eastAsia="宋体"/>
          <w:sz w:val="28"/>
          <w:szCs w:val="28"/>
        </w:rPr>
        <w:t>四、服务内容</w:t>
      </w:r>
      <w:bookmarkEnd w:id="26"/>
    </w:p>
    <w:p>
      <w:pPr>
        <w:spacing w:line="324" w:lineRule="auto"/>
        <w:rPr>
          <w:rFonts w:cs="仿宋"/>
        </w:rPr>
      </w:pPr>
      <w:r>
        <w:rPr>
          <w:rFonts w:hint="eastAsia" w:cs="仿宋"/>
        </w:rPr>
        <w:t>乙方为甲方提供相关海南自由贸易港船员考试英文题库建设服务工作，具体内容包括：</w:t>
      </w:r>
    </w:p>
    <w:p>
      <w:pPr>
        <w:spacing w:line="324" w:lineRule="auto"/>
        <w:ind w:firstLine="562"/>
        <w:rPr>
          <w:rFonts w:cs="仿宋"/>
          <w:b/>
        </w:rPr>
      </w:pPr>
      <w:r>
        <w:rPr>
          <w:rFonts w:hint="eastAsia" w:cs="仿宋"/>
          <w:b/>
        </w:rPr>
        <w:t>1．主要服务范围：</w:t>
      </w:r>
    </w:p>
    <w:p>
      <w:pPr>
        <w:spacing w:line="324" w:lineRule="auto"/>
        <w:rPr>
          <w:rFonts w:cs="仿宋"/>
        </w:rPr>
      </w:pPr>
      <w:r>
        <w:rPr>
          <w:rFonts w:cs="仿宋"/>
        </w:rPr>
        <w:t>服务对象</w:t>
      </w:r>
      <w:r>
        <w:rPr>
          <w:rFonts w:hint="eastAsia" w:cs="仿宋"/>
        </w:rPr>
        <w:t>为海南海事局。</w:t>
      </w:r>
    </w:p>
    <w:p>
      <w:pPr>
        <w:spacing w:line="324" w:lineRule="auto"/>
        <w:rPr>
          <w:rFonts w:cs="仿宋"/>
        </w:rPr>
      </w:pPr>
      <w:r>
        <w:rPr>
          <w:rFonts w:hint="eastAsia" w:cs="仿宋"/>
        </w:rPr>
        <w:t>专业科目包括以下内容：</w:t>
      </w:r>
      <w:r>
        <w:rPr>
          <w:rFonts w:hint="eastAsia"/>
        </w:rPr>
        <w:t>主要包括海船值班水手、值班机工、基本安全培训合格证、客船船员特殊培训合格证、保安意识培训合格证等。</w:t>
      </w:r>
    </w:p>
    <w:p>
      <w:pPr>
        <w:spacing w:line="324" w:lineRule="auto"/>
        <w:rPr>
          <w:rFonts w:cs="仿宋"/>
        </w:rPr>
      </w:pPr>
      <w:r>
        <w:rPr>
          <w:rFonts w:cs="仿宋"/>
        </w:rPr>
        <w:t>考试系统包括以下内容</w:t>
      </w:r>
      <w:r>
        <w:rPr>
          <w:rFonts w:hint="eastAsia" w:cs="仿宋"/>
        </w:rPr>
        <w:t>：</w:t>
      </w:r>
      <w:r>
        <w:rPr>
          <w:rFonts w:cs="仿宋"/>
        </w:rPr>
        <w:t>组卷系统</w:t>
      </w:r>
      <w:r>
        <w:rPr>
          <w:rFonts w:hint="eastAsia" w:cs="仿宋"/>
        </w:rPr>
        <w:t>、</w:t>
      </w:r>
      <w:r>
        <w:rPr>
          <w:rFonts w:cs="仿宋"/>
        </w:rPr>
        <w:t>考务系统</w:t>
      </w:r>
      <w:r>
        <w:rPr>
          <w:rFonts w:hint="eastAsia" w:cs="仿宋"/>
        </w:rPr>
        <w:t>、终端考试系统等改造开发和维护。</w:t>
      </w:r>
    </w:p>
    <w:p>
      <w:pPr>
        <w:spacing w:line="324" w:lineRule="auto"/>
        <w:ind w:firstLine="562"/>
        <w:rPr>
          <w:rFonts w:cs="仿宋"/>
          <w:b/>
        </w:rPr>
      </w:pPr>
      <w:r>
        <w:rPr>
          <w:rFonts w:hint="eastAsia" w:cs="仿宋"/>
          <w:b/>
        </w:rPr>
        <w:t>2.主要服务内容：</w:t>
      </w:r>
    </w:p>
    <w:p>
      <w:pPr>
        <w:spacing w:line="324" w:lineRule="auto"/>
        <w:rPr>
          <w:rFonts w:cs="仿宋"/>
        </w:rPr>
      </w:pPr>
      <w:r>
        <w:rPr>
          <w:rFonts w:hint="eastAsia" w:cs="仿宋"/>
        </w:rPr>
        <w:t>题库建设服务及考试软件改造开发和维护等两大块内容，具体见下表。</w:t>
      </w:r>
    </w:p>
    <w:tbl>
      <w:tblPr>
        <w:tblStyle w:val="3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207"/>
        <w:gridCol w:w="1885"/>
        <w:gridCol w:w="4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965" w:type="dxa"/>
            <w:vAlign w:val="center"/>
          </w:tcPr>
          <w:p>
            <w:pPr>
              <w:ind w:left="29" w:firstLine="0" w:firstLineChars="0"/>
              <w:jc w:val="center"/>
              <w:rPr>
                <w:b/>
                <w:bCs/>
                <w:sz w:val="24"/>
                <w:szCs w:val="24"/>
              </w:rPr>
            </w:pPr>
            <w:r>
              <w:rPr>
                <w:rFonts w:hint="eastAsia"/>
                <w:b/>
                <w:bCs/>
                <w:sz w:val="24"/>
                <w:szCs w:val="24"/>
              </w:rPr>
              <w:t>序号</w:t>
            </w:r>
          </w:p>
        </w:tc>
        <w:tc>
          <w:tcPr>
            <w:tcW w:w="1207" w:type="dxa"/>
            <w:vAlign w:val="center"/>
          </w:tcPr>
          <w:p>
            <w:pPr>
              <w:ind w:firstLine="0" w:firstLineChars="0"/>
              <w:jc w:val="center"/>
              <w:rPr>
                <w:b/>
                <w:bCs/>
                <w:sz w:val="24"/>
                <w:szCs w:val="24"/>
              </w:rPr>
            </w:pPr>
            <w:r>
              <w:rPr>
                <w:rFonts w:hint="eastAsia"/>
                <w:b/>
                <w:bCs/>
                <w:sz w:val="24"/>
                <w:szCs w:val="24"/>
              </w:rPr>
              <w:t>总项目</w:t>
            </w:r>
          </w:p>
        </w:tc>
        <w:tc>
          <w:tcPr>
            <w:tcW w:w="1885" w:type="dxa"/>
            <w:vAlign w:val="center"/>
          </w:tcPr>
          <w:p>
            <w:pPr>
              <w:ind w:firstLine="0" w:firstLineChars="0"/>
              <w:jc w:val="center"/>
              <w:rPr>
                <w:b/>
                <w:bCs/>
                <w:sz w:val="24"/>
                <w:szCs w:val="24"/>
              </w:rPr>
            </w:pPr>
            <w:r>
              <w:rPr>
                <w:rFonts w:hint="eastAsia"/>
                <w:b/>
                <w:bCs/>
                <w:sz w:val="24"/>
                <w:szCs w:val="24"/>
              </w:rPr>
              <w:t>子项目</w:t>
            </w:r>
          </w:p>
        </w:tc>
        <w:tc>
          <w:tcPr>
            <w:tcW w:w="4268" w:type="dxa"/>
            <w:vAlign w:val="center"/>
          </w:tcPr>
          <w:p>
            <w:pPr>
              <w:ind w:left="35" w:firstLine="0" w:firstLineChars="0"/>
              <w:jc w:val="center"/>
              <w:rPr>
                <w:b/>
                <w:bCs/>
                <w:sz w:val="24"/>
                <w:szCs w:val="24"/>
              </w:rPr>
            </w:pPr>
            <w:r>
              <w:rPr>
                <w:rFonts w:hint="eastAsia"/>
                <w:b/>
                <w:bCs/>
                <w:sz w:val="24"/>
                <w:szCs w:val="24"/>
              </w:rPr>
              <w:t>子项目描述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965" w:type="dxa"/>
            <w:vMerge w:val="restart"/>
            <w:vAlign w:val="center"/>
          </w:tcPr>
          <w:p>
            <w:pPr>
              <w:ind w:left="29" w:firstLine="0" w:firstLineChars="0"/>
              <w:jc w:val="center"/>
              <w:rPr>
                <w:b/>
                <w:bCs/>
                <w:sz w:val="24"/>
                <w:szCs w:val="24"/>
              </w:rPr>
            </w:pPr>
            <w:r>
              <w:rPr>
                <w:rFonts w:hint="eastAsia"/>
                <w:b/>
                <w:bCs/>
                <w:sz w:val="24"/>
                <w:szCs w:val="24"/>
              </w:rPr>
              <w:t>1</w:t>
            </w:r>
          </w:p>
        </w:tc>
        <w:tc>
          <w:tcPr>
            <w:tcW w:w="1207" w:type="dxa"/>
            <w:vMerge w:val="restart"/>
            <w:vAlign w:val="center"/>
          </w:tcPr>
          <w:p>
            <w:pPr>
              <w:ind w:firstLine="0" w:firstLineChars="0"/>
              <w:jc w:val="center"/>
              <w:rPr>
                <w:sz w:val="24"/>
                <w:szCs w:val="24"/>
              </w:rPr>
            </w:pPr>
            <w:r>
              <w:rPr>
                <w:rFonts w:hint="eastAsia"/>
                <w:sz w:val="24"/>
                <w:szCs w:val="24"/>
              </w:rPr>
              <w:t>题库建设服务</w:t>
            </w:r>
          </w:p>
        </w:tc>
        <w:tc>
          <w:tcPr>
            <w:tcW w:w="1885" w:type="dxa"/>
            <w:vAlign w:val="center"/>
          </w:tcPr>
          <w:p>
            <w:pPr>
              <w:ind w:firstLine="0" w:firstLineChars="0"/>
              <w:rPr>
                <w:sz w:val="24"/>
                <w:szCs w:val="24"/>
              </w:rPr>
            </w:pPr>
            <w:r>
              <w:rPr>
                <w:rFonts w:hint="eastAsia"/>
                <w:sz w:val="24"/>
                <w:szCs w:val="24"/>
              </w:rPr>
              <w:t>1.大纲解析</w:t>
            </w:r>
          </w:p>
        </w:tc>
        <w:tc>
          <w:tcPr>
            <w:tcW w:w="4268" w:type="dxa"/>
            <w:vAlign w:val="center"/>
          </w:tcPr>
          <w:p>
            <w:pPr>
              <w:ind w:left="35" w:firstLine="0" w:firstLineChars="0"/>
              <w:rPr>
                <w:sz w:val="24"/>
                <w:szCs w:val="24"/>
              </w:rPr>
            </w:pPr>
            <w:r>
              <w:rPr>
                <w:rFonts w:hint="eastAsia"/>
                <w:sz w:val="24"/>
                <w:szCs w:val="24"/>
              </w:rPr>
              <w:t>根据培训大纲按照适用对象、科目制定大纲知识点。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965" w:type="dxa"/>
            <w:vMerge w:val="continue"/>
            <w:vAlign w:val="center"/>
          </w:tcPr>
          <w:p>
            <w:pPr>
              <w:ind w:firstLine="0" w:firstLineChars="0"/>
              <w:rPr>
                <w:sz w:val="24"/>
                <w:szCs w:val="24"/>
              </w:rPr>
            </w:pPr>
          </w:p>
        </w:tc>
        <w:tc>
          <w:tcPr>
            <w:tcW w:w="1207" w:type="dxa"/>
            <w:vMerge w:val="continue"/>
            <w:vAlign w:val="center"/>
          </w:tcPr>
          <w:p>
            <w:pPr>
              <w:ind w:firstLine="0" w:firstLineChars="0"/>
              <w:jc w:val="center"/>
              <w:rPr>
                <w:sz w:val="24"/>
                <w:szCs w:val="24"/>
              </w:rPr>
            </w:pPr>
          </w:p>
        </w:tc>
        <w:tc>
          <w:tcPr>
            <w:tcW w:w="1885" w:type="dxa"/>
            <w:vAlign w:val="center"/>
          </w:tcPr>
          <w:p>
            <w:pPr>
              <w:ind w:firstLine="0" w:firstLineChars="0"/>
              <w:rPr>
                <w:sz w:val="24"/>
                <w:szCs w:val="24"/>
              </w:rPr>
            </w:pPr>
            <w:r>
              <w:rPr>
                <w:rFonts w:hint="eastAsia"/>
                <w:sz w:val="24"/>
                <w:szCs w:val="24"/>
              </w:rPr>
              <w:t>2.试题编写服务</w:t>
            </w:r>
          </w:p>
        </w:tc>
        <w:tc>
          <w:tcPr>
            <w:tcW w:w="4268" w:type="dxa"/>
            <w:vAlign w:val="center"/>
          </w:tcPr>
          <w:p>
            <w:pPr>
              <w:ind w:left="35" w:firstLine="0" w:firstLineChars="0"/>
              <w:rPr>
                <w:sz w:val="24"/>
                <w:szCs w:val="24"/>
              </w:rPr>
            </w:pPr>
            <w:r>
              <w:rPr>
                <w:rFonts w:hint="eastAsia"/>
                <w:sz w:val="24"/>
                <w:szCs w:val="24"/>
              </w:rPr>
              <w:t>编写适用海南</w:t>
            </w:r>
            <w:r>
              <w:rPr>
                <w:rFonts w:hint="eastAsia"/>
                <w:sz w:val="24"/>
                <w:szCs w:val="24"/>
                <w:lang w:eastAsia="zh-CN"/>
              </w:rPr>
              <w:t>自由贸易港</w:t>
            </w:r>
            <w:r>
              <w:rPr>
                <w:rFonts w:hint="eastAsia"/>
                <w:sz w:val="24"/>
                <w:szCs w:val="24"/>
              </w:rPr>
              <w:t>船员考试的英文试题。主要科目包括海船值班水手、值班机工、基本安全培训合格证、客船船员特殊培训合格证、保安意识培训合格证等。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65" w:type="dxa"/>
            <w:vMerge w:val="continue"/>
            <w:vAlign w:val="center"/>
          </w:tcPr>
          <w:p>
            <w:pPr>
              <w:ind w:left="29" w:firstLine="0" w:firstLineChars="0"/>
              <w:rPr>
                <w:sz w:val="24"/>
                <w:szCs w:val="24"/>
              </w:rPr>
            </w:pPr>
          </w:p>
        </w:tc>
        <w:tc>
          <w:tcPr>
            <w:tcW w:w="1207" w:type="dxa"/>
            <w:vMerge w:val="continue"/>
            <w:vAlign w:val="center"/>
          </w:tcPr>
          <w:p>
            <w:pPr>
              <w:ind w:firstLine="0" w:firstLineChars="0"/>
              <w:jc w:val="center"/>
              <w:rPr>
                <w:sz w:val="24"/>
                <w:szCs w:val="24"/>
              </w:rPr>
            </w:pPr>
          </w:p>
        </w:tc>
        <w:tc>
          <w:tcPr>
            <w:tcW w:w="1885" w:type="dxa"/>
            <w:vAlign w:val="center"/>
          </w:tcPr>
          <w:p>
            <w:pPr>
              <w:ind w:firstLine="0" w:firstLineChars="0"/>
              <w:rPr>
                <w:sz w:val="24"/>
                <w:szCs w:val="24"/>
              </w:rPr>
            </w:pPr>
            <w:r>
              <w:rPr>
                <w:rFonts w:hint="eastAsia"/>
                <w:sz w:val="24"/>
                <w:szCs w:val="24"/>
              </w:rPr>
              <w:t>3.试题审定服务</w:t>
            </w:r>
          </w:p>
        </w:tc>
        <w:tc>
          <w:tcPr>
            <w:tcW w:w="4268" w:type="dxa"/>
            <w:vAlign w:val="center"/>
          </w:tcPr>
          <w:p>
            <w:pPr>
              <w:ind w:left="35" w:firstLine="0" w:firstLineChars="0"/>
              <w:rPr>
                <w:sz w:val="24"/>
                <w:szCs w:val="24"/>
              </w:rPr>
            </w:pPr>
            <w:r>
              <w:rPr>
                <w:rFonts w:hint="eastAsia"/>
                <w:sz w:val="24"/>
                <w:szCs w:val="24"/>
              </w:rPr>
              <w:t>组织专家进行审定，确定试题是否可以入库。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65" w:type="dxa"/>
            <w:vMerge w:val="continue"/>
            <w:vAlign w:val="center"/>
          </w:tcPr>
          <w:p>
            <w:pPr>
              <w:ind w:left="29" w:firstLine="0" w:firstLineChars="0"/>
              <w:rPr>
                <w:sz w:val="24"/>
                <w:szCs w:val="24"/>
              </w:rPr>
            </w:pPr>
          </w:p>
        </w:tc>
        <w:tc>
          <w:tcPr>
            <w:tcW w:w="1207" w:type="dxa"/>
            <w:vMerge w:val="continue"/>
            <w:vAlign w:val="center"/>
          </w:tcPr>
          <w:p>
            <w:pPr>
              <w:ind w:firstLine="0" w:firstLineChars="0"/>
              <w:jc w:val="center"/>
              <w:rPr>
                <w:sz w:val="24"/>
                <w:szCs w:val="24"/>
              </w:rPr>
            </w:pPr>
          </w:p>
        </w:tc>
        <w:tc>
          <w:tcPr>
            <w:tcW w:w="1885" w:type="dxa"/>
            <w:vAlign w:val="center"/>
          </w:tcPr>
          <w:p>
            <w:pPr>
              <w:ind w:firstLine="0" w:firstLineChars="0"/>
              <w:rPr>
                <w:sz w:val="24"/>
                <w:szCs w:val="24"/>
              </w:rPr>
            </w:pPr>
            <w:r>
              <w:rPr>
                <w:rFonts w:hint="eastAsia"/>
                <w:sz w:val="24"/>
                <w:szCs w:val="24"/>
              </w:rPr>
              <w:t>4.试题入库整理</w:t>
            </w:r>
          </w:p>
        </w:tc>
        <w:tc>
          <w:tcPr>
            <w:tcW w:w="4268" w:type="dxa"/>
            <w:vAlign w:val="center"/>
          </w:tcPr>
          <w:p>
            <w:pPr>
              <w:ind w:left="35" w:firstLine="0" w:firstLineChars="0"/>
              <w:rPr>
                <w:sz w:val="24"/>
                <w:szCs w:val="24"/>
              </w:rPr>
            </w:pPr>
            <w:r>
              <w:rPr>
                <w:rFonts w:hint="eastAsia"/>
                <w:sz w:val="24"/>
                <w:szCs w:val="24"/>
              </w:rPr>
              <w:t>根据专家意见对试题进行整理并导入考试组卷系统</w:t>
            </w:r>
            <w:r>
              <w:rPr>
                <w:rFonts w:hint="eastAsia"/>
                <w:sz w:val="24"/>
                <w:szCs w:val="24"/>
                <w:lang w:eastAsia="zh-CN"/>
              </w:rPr>
              <w:t>，入库试题总量不少于</w:t>
            </w:r>
            <w:r>
              <w:rPr>
                <w:rFonts w:hint="eastAsia"/>
                <w:sz w:val="24"/>
                <w:szCs w:val="24"/>
                <w:lang w:val="en-US" w:eastAsia="zh-CN"/>
              </w:rPr>
              <w:t>5000道试题</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965" w:type="dxa"/>
            <w:vAlign w:val="center"/>
          </w:tcPr>
          <w:p>
            <w:pPr>
              <w:ind w:left="449" w:firstLine="0" w:firstLineChars="0"/>
              <w:rPr>
                <w:sz w:val="24"/>
                <w:szCs w:val="24"/>
              </w:rPr>
            </w:pPr>
            <w:r>
              <w:rPr>
                <w:rFonts w:hint="eastAsia"/>
                <w:sz w:val="24"/>
                <w:szCs w:val="24"/>
              </w:rPr>
              <w:t>2</w:t>
            </w:r>
          </w:p>
        </w:tc>
        <w:tc>
          <w:tcPr>
            <w:tcW w:w="1207" w:type="dxa"/>
            <w:vAlign w:val="center"/>
          </w:tcPr>
          <w:p>
            <w:pPr>
              <w:ind w:firstLine="0" w:firstLineChars="0"/>
              <w:jc w:val="center"/>
              <w:rPr>
                <w:sz w:val="24"/>
                <w:szCs w:val="24"/>
              </w:rPr>
            </w:pPr>
            <w:r>
              <w:rPr>
                <w:rFonts w:hint="eastAsia"/>
                <w:sz w:val="24"/>
                <w:szCs w:val="24"/>
              </w:rPr>
              <w:t>考试软件改造开发和维护</w:t>
            </w:r>
          </w:p>
        </w:tc>
        <w:tc>
          <w:tcPr>
            <w:tcW w:w="1885" w:type="dxa"/>
            <w:vAlign w:val="center"/>
          </w:tcPr>
          <w:p>
            <w:pPr>
              <w:ind w:firstLine="0" w:firstLineChars="0"/>
              <w:rPr>
                <w:sz w:val="24"/>
                <w:szCs w:val="24"/>
              </w:rPr>
            </w:pPr>
            <w:r>
              <w:rPr>
                <w:rFonts w:hint="eastAsia"/>
                <w:sz w:val="24"/>
                <w:szCs w:val="24"/>
              </w:rPr>
              <w:t>考试软件改造开发和维护</w:t>
            </w:r>
          </w:p>
        </w:tc>
        <w:tc>
          <w:tcPr>
            <w:tcW w:w="4268" w:type="dxa"/>
            <w:vAlign w:val="center"/>
          </w:tcPr>
          <w:p>
            <w:pPr>
              <w:ind w:left="35" w:firstLine="0" w:firstLineChars="0"/>
              <w:rPr>
                <w:sz w:val="24"/>
                <w:szCs w:val="24"/>
              </w:rPr>
            </w:pPr>
            <w:r>
              <w:rPr>
                <w:rFonts w:hint="eastAsia"/>
                <w:sz w:val="24"/>
                <w:szCs w:val="24"/>
              </w:rPr>
              <w:t>为了确保考试相关系统间的衔接顺畅，以及考试组织工作的顺利、稳定开展，本项目所需的考试系统主要是针对现有考试系统进行改造开发和维护，包括组卷系统、考务管理系统、考试终端系统等。</w:t>
            </w:r>
          </w:p>
        </w:tc>
      </w:tr>
    </w:tbl>
    <w:p>
      <w:pPr>
        <w:spacing w:line="324" w:lineRule="auto"/>
        <w:rPr>
          <w:rFonts w:cs="仿宋"/>
        </w:rPr>
      </w:pPr>
    </w:p>
    <w:p>
      <w:pPr>
        <w:pStyle w:val="4"/>
        <w:rPr>
          <w:rFonts w:eastAsia="宋体"/>
          <w:sz w:val="28"/>
          <w:szCs w:val="28"/>
        </w:rPr>
      </w:pPr>
      <w:bookmarkStart w:id="27" w:name="_Toc16656"/>
      <w:r>
        <w:rPr>
          <w:rFonts w:hint="eastAsia" w:eastAsia="宋体"/>
          <w:sz w:val="28"/>
          <w:szCs w:val="28"/>
        </w:rPr>
        <w:t>五、合同金额及支付方式</w:t>
      </w:r>
      <w:bookmarkEnd w:id="27"/>
    </w:p>
    <w:p>
      <w:pPr>
        <w:spacing w:line="324" w:lineRule="auto"/>
        <w:rPr>
          <w:rFonts w:cs="仿宋"/>
        </w:rPr>
      </w:pPr>
      <w:r>
        <w:rPr>
          <w:rFonts w:hint="eastAsia" w:cs="仿宋"/>
        </w:rPr>
        <w:t>（一）合同金额</w:t>
      </w:r>
    </w:p>
    <w:p>
      <w:pPr>
        <w:spacing w:line="324" w:lineRule="auto"/>
        <w:rPr>
          <w:rFonts w:cs="仿宋"/>
        </w:rPr>
      </w:pPr>
      <w:r>
        <w:rPr>
          <w:rFonts w:hint="eastAsia" w:cs="仿宋"/>
        </w:rPr>
        <w:t>本合同金额为</w:t>
      </w:r>
      <w:r>
        <w:rPr>
          <w:rFonts w:hint="eastAsia" w:cs="仿宋"/>
          <w:u w:val="single"/>
        </w:rPr>
        <w:t>人民币****元整（￥****元）</w:t>
      </w:r>
      <w:r>
        <w:rPr>
          <w:rFonts w:hint="eastAsia" w:cs="仿宋"/>
        </w:rPr>
        <w:t>。上述合同金额已包含乙方为完成合同约定全部工作和义务所需的一切费用。</w:t>
      </w:r>
    </w:p>
    <w:p>
      <w:pPr>
        <w:spacing w:line="324" w:lineRule="auto"/>
        <w:rPr>
          <w:rFonts w:cs="仿宋"/>
        </w:rPr>
      </w:pPr>
      <w:r>
        <w:rPr>
          <w:rFonts w:hint="eastAsia" w:cs="仿宋"/>
        </w:rPr>
        <w:t>（二）支付方式</w:t>
      </w:r>
    </w:p>
    <w:p>
      <w:pPr>
        <w:spacing w:line="324" w:lineRule="auto"/>
        <w:rPr>
          <w:rFonts w:cs="仿宋"/>
        </w:rPr>
      </w:pPr>
      <w:r>
        <w:rPr>
          <w:rFonts w:hint="eastAsia" w:cs="仿宋"/>
        </w:rPr>
        <w:t>1．本服务项目在确定乙方为指定供应商，甲方和乙方签订合同完毕，在收到乙方提供相应合同金额的商业发票</w:t>
      </w:r>
      <w:r>
        <w:rPr>
          <w:rFonts w:hint="eastAsia" w:cs="仿宋"/>
          <w:b w:val="0"/>
          <w:bCs w:val="0"/>
          <w:color w:val="auto"/>
        </w:rPr>
        <w:t>和合同十二条规定的履约保证金后</w:t>
      </w:r>
      <w:r>
        <w:rPr>
          <w:rFonts w:hint="eastAsia" w:cs="仿宋"/>
        </w:rPr>
        <w:t>，</w:t>
      </w:r>
      <w:r>
        <w:rPr>
          <w:rFonts w:cs="仿宋"/>
        </w:rPr>
        <w:t>支付乙方</w:t>
      </w:r>
      <w:r>
        <w:rPr>
          <w:rFonts w:hint="eastAsia" w:cs="仿宋"/>
        </w:rPr>
        <w:t>合同金额50%的</w:t>
      </w:r>
      <w:r>
        <w:rPr>
          <w:rFonts w:cs="仿宋"/>
        </w:rPr>
        <w:t>首付款</w:t>
      </w:r>
      <w:r>
        <w:rPr>
          <w:rFonts w:hint="eastAsia" w:cs="仿宋"/>
        </w:rPr>
        <w:t>，</w:t>
      </w:r>
      <w:r>
        <w:rPr>
          <w:rFonts w:cs="仿宋"/>
        </w:rPr>
        <w:t>支付金额</w:t>
      </w:r>
      <w:r>
        <w:rPr>
          <w:rFonts w:hint="eastAsia" w:cs="仿宋"/>
        </w:rPr>
        <w:t>为</w:t>
      </w:r>
      <w:r>
        <w:rPr>
          <w:rFonts w:hint="eastAsia" w:cs="仿宋"/>
          <w:u w:val="single"/>
        </w:rPr>
        <w:t>人民币****元整（￥******元）</w:t>
      </w:r>
      <w:r>
        <w:rPr>
          <w:rFonts w:hint="eastAsia" w:cs="仿宋"/>
        </w:rPr>
        <w:t>：</w:t>
      </w:r>
    </w:p>
    <w:p>
      <w:pPr>
        <w:spacing w:line="324" w:lineRule="auto"/>
        <w:rPr>
          <w:rFonts w:cs="仿宋"/>
        </w:rPr>
      </w:pPr>
      <w:r>
        <w:rPr>
          <w:rFonts w:cs="仿宋"/>
        </w:rPr>
        <w:t>2</w:t>
      </w:r>
      <w:r>
        <w:rPr>
          <w:rFonts w:hint="eastAsia" w:cs="仿宋"/>
        </w:rPr>
        <w:t>.</w:t>
      </w:r>
      <w:r>
        <w:rPr>
          <w:rFonts w:hint="eastAsia" w:cs="仿宋"/>
          <w:highlight w:val="none"/>
        </w:rPr>
        <w:t>乙方需在合同签订后三个月</w:t>
      </w:r>
      <w:r>
        <w:rPr>
          <w:rFonts w:hint="eastAsia" w:cs="仿宋"/>
          <w:highlight w:val="none"/>
          <w:lang w:eastAsia="zh-CN"/>
        </w:rPr>
        <w:t>（</w:t>
      </w:r>
      <w:r>
        <w:rPr>
          <w:rFonts w:hint="eastAsia" w:cs="仿宋"/>
          <w:highlight w:val="none"/>
          <w:lang w:val="en-US" w:eastAsia="zh-CN"/>
        </w:rPr>
        <w:t>90个日历日</w:t>
      </w:r>
      <w:r>
        <w:rPr>
          <w:rFonts w:hint="eastAsia" w:cs="仿宋"/>
          <w:highlight w:val="none"/>
          <w:lang w:eastAsia="zh-CN"/>
        </w:rPr>
        <w:t>）</w:t>
      </w:r>
      <w:r>
        <w:rPr>
          <w:rFonts w:hint="eastAsia" w:cs="仿宋"/>
          <w:highlight w:val="none"/>
        </w:rPr>
        <w:t>内完成本合同第四条规定的所有服务内容，并通过甲方验收，在甲方收到乙方提供的下列单据后，</w:t>
      </w:r>
      <w:r>
        <w:rPr>
          <w:rFonts w:hint="eastAsia" w:cs="仿宋"/>
        </w:rPr>
        <w:t>支付项目尾款人民币</w:t>
      </w:r>
      <w:r>
        <w:rPr>
          <w:rFonts w:hint="eastAsia" w:cs="仿宋"/>
          <w:u w:val="single"/>
        </w:rPr>
        <w:t>****元整（￥******元）</w:t>
      </w:r>
      <w:r>
        <w:rPr>
          <w:rFonts w:hint="eastAsia" w:cs="仿宋"/>
        </w:rPr>
        <w:t>：</w:t>
      </w:r>
    </w:p>
    <w:p>
      <w:pPr>
        <w:spacing w:line="324" w:lineRule="auto"/>
        <w:rPr>
          <w:rFonts w:cs="仿宋"/>
        </w:rPr>
      </w:pPr>
      <w:r>
        <w:rPr>
          <w:rFonts w:hint="eastAsia" w:cs="仿宋"/>
        </w:rPr>
        <w:t>1）相应合同金额的商业发票；</w:t>
      </w:r>
    </w:p>
    <w:p>
      <w:pPr>
        <w:spacing w:line="324" w:lineRule="auto"/>
        <w:rPr>
          <w:rFonts w:cs="仿宋"/>
        </w:rPr>
      </w:pPr>
      <w:r>
        <w:rPr>
          <w:rFonts w:cs="仿宋"/>
        </w:rPr>
        <w:t>2</w:t>
      </w:r>
      <w:r>
        <w:rPr>
          <w:rFonts w:hint="eastAsia" w:cs="仿宋"/>
        </w:rPr>
        <w:t>）甲方组织的本项目验收通过报告。</w:t>
      </w:r>
    </w:p>
    <w:p>
      <w:pPr>
        <w:spacing w:line="324" w:lineRule="auto"/>
        <w:rPr>
          <w:rFonts w:cs="仿宋"/>
        </w:rPr>
      </w:pPr>
      <w:r>
        <w:rPr>
          <w:rFonts w:cs="仿宋"/>
        </w:rPr>
        <w:t>3</w:t>
      </w:r>
      <w:r>
        <w:rPr>
          <w:rFonts w:hint="eastAsia" w:cs="仿宋"/>
        </w:rPr>
        <w:t>.乙方应对本合同签章页乙方账户信息的准确性负责。乙方变更账户信息的，应自变更之日起三个工作日内通知甲方；乙方不履行通知义务的，应对由此造成的一切不利后果承担法律责任。</w:t>
      </w:r>
    </w:p>
    <w:p>
      <w:pPr>
        <w:pStyle w:val="4"/>
        <w:rPr>
          <w:rFonts w:eastAsia="宋体"/>
          <w:sz w:val="28"/>
          <w:szCs w:val="28"/>
        </w:rPr>
      </w:pPr>
      <w:bookmarkStart w:id="28" w:name="_Toc28852"/>
      <w:r>
        <w:rPr>
          <w:rFonts w:hint="eastAsia" w:eastAsia="宋体"/>
          <w:sz w:val="28"/>
          <w:szCs w:val="28"/>
        </w:rPr>
        <w:t>六、服务质量、提交成果和项目验收</w:t>
      </w:r>
      <w:bookmarkEnd w:id="28"/>
    </w:p>
    <w:p>
      <w:pPr>
        <w:spacing w:line="324" w:lineRule="auto"/>
        <w:rPr>
          <w:rFonts w:cs="仿宋"/>
        </w:rPr>
      </w:pPr>
      <w:r>
        <w:rPr>
          <w:rFonts w:hint="eastAsia" w:cs="仿宋"/>
        </w:rPr>
        <w:t xml:space="preserve">（一）服务质量 </w:t>
      </w:r>
    </w:p>
    <w:p>
      <w:pPr>
        <w:spacing w:line="324" w:lineRule="auto"/>
        <w:rPr>
          <w:rFonts w:cs="仿宋"/>
        </w:rPr>
      </w:pPr>
      <w:r>
        <w:rPr>
          <w:rFonts w:cs="仿宋"/>
        </w:rPr>
        <w:t>1</w:t>
      </w:r>
      <w:r>
        <w:rPr>
          <w:rFonts w:hint="eastAsia" w:cs="仿宋"/>
        </w:rPr>
        <w:t>）供应商应在海南自由贸易港船员考试英文题库建设合同约定的职责范围内做好考试服务工作，保障外国籍船员考试工作能够按质按量、高效及时的完成。</w:t>
      </w:r>
    </w:p>
    <w:p>
      <w:pPr>
        <w:spacing w:line="324" w:lineRule="auto"/>
        <w:rPr>
          <w:rFonts w:cs="仿宋"/>
        </w:rPr>
      </w:pPr>
      <w:r>
        <w:rPr>
          <w:rFonts w:cs="仿宋"/>
        </w:rPr>
        <w:t>2</w:t>
      </w:r>
      <w:r>
        <w:rPr>
          <w:rFonts w:hint="eastAsia" w:cs="仿宋"/>
        </w:rPr>
        <w:t>）供应商应根据船员管理质量管理体系的要求，健全管理制度，确保供应商自身的有效组织和管理。</w:t>
      </w:r>
    </w:p>
    <w:p>
      <w:pPr>
        <w:spacing w:line="324" w:lineRule="auto"/>
        <w:rPr>
          <w:rFonts w:cs="仿宋"/>
        </w:rPr>
      </w:pPr>
      <w:r>
        <w:rPr>
          <w:rFonts w:hint="eastAsia" w:cs="仿宋"/>
        </w:rPr>
        <w:t>（二）提交成果</w:t>
      </w:r>
    </w:p>
    <w:p>
      <w:pPr>
        <w:spacing w:line="324" w:lineRule="auto"/>
        <w:rPr>
          <w:rFonts w:cs="仿宋"/>
        </w:rPr>
      </w:pPr>
      <w:r>
        <w:rPr>
          <w:rFonts w:hint="eastAsia" w:cs="仿宋"/>
        </w:rPr>
        <w:t>乙方在完成合同规定的服务工作后，应按要求向甲方提供工作报告。</w:t>
      </w:r>
    </w:p>
    <w:p>
      <w:pPr>
        <w:spacing w:line="324" w:lineRule="auto"/>
        <w:rPr>
          <w:rFonts w:cs="仿宋"/>
        </w:rPr>
      </w:pPr>
      <w:r>
        <w:rPr>
          <w:rFonts w:hint="eastAsia" w:cs="仿宋"/>
        </w:rPr>
        <w:t>（三）项目验收</w:t>
      </w:r>
    </w:p>
    <w:p>
      <w:pPr>
        <w:spacing w:line="324" w:lineRule="auto"/>
        <w:rPr>
          <w:rFonts w:cs="仿宋"/>
        </w:rPr>
      </w:pPr>
      <w:r>
        <w:rPr>
          <w:rFonts w:hint="eastAsia" w:cs="仿宋"/>
        </w:rPr>
        <w:t>项目验收是指项目在甲方组织的验收专家组确认服务内容满足服务要求的数量和质量。</w:t>
      </w:r>
    </w:p>
    <w:p>
      <w:pPr>
        <w:spacing w:line="324" w:lineRule="auto"/>
        <w:rPr>
          <w:rFonts w:cs="仿宋"/>
        </w:rPr>
      </w:pPr>
      <w:r>
        <w:rPr>
          <w:rFonts w:cs="仿宋"/>
        </w:rPr>
        <w:t>1</w:t>
      </w:r>
      <w:r>
        <w:rPr>
          <w:rFonts w:hint="eastAsia" w:cs="仿宋"/>
        </w:rPr>
        <w:t>.项目验收：甲方在收到乙方提交的工作报告和相关材料后，组织开展项目验收。检查标准以本合同约定为标准，具体时间和地点由甲乙双方商议安排，检查结果出具书面意见，须由甲乙双方共同签署。</w:t>
      </w:r>
    </w:p>
    <w:p>
      <w:pPr>
        <w:spacing w:line="324" w:lineRule="auto"/>
        <w:rPr>
          <w:rFonts w:cs="仿宋"/>
        </w:rPr>
      </w:pPr>
      <w:r>
        <w:rPr>
          <w:rFonts w:cs="仿宋"/>
        </w:rPr>
        <w:t>2</w:t>
      </w:r>
      <w:r>
        <w:rPr>
          <w:rFonts w:hint="eastAsia" w:cs="仿宋"/>
        </w:rPr>
        <w:t>.项目验收结果分为通过与不通过。对于不通过的情况，由乙方按照验收意见采取补救措施后再次进行验收。</w:t>
      </w:r>
    </w:p>
    <w:p>
      <w:pPr>
        <w:spacing w:line="324" w:lineRule="auto"/>
        <w:rPr>
          <w:rFonts w:cs="仿宋"/>
        </w:rPr>
      </w:pPr>
      <w:r>
        <w:rPr>
          <w:rFonts w:cs="仿宋"/>
        </w:rPr>
        <w:t>3</w:t>
      </w:r>
      <w:r>
        <w:rPr>
          <w:rFonts w:hint="eastAsia" w:cs="仿宋"/>
        </w:rPr>
        <w:t>.项目验收中所产生的相关费用均由乙方负责，且已包含在本合同金额内。</w:t>
      </w:r>
    </w:p>
    <w:p>
      <w:pPr>
        <w:pStyle w:val="4"/>
        <w:rPr>
          <w:rFonts w:eastAsia="宋体"/>
          <w:sz w:val="28"/>
          <w:szCs w:val="28"/>
        </w:rPr>
      </w:pPr>
      <w:bookmarkStart w:id="29" w:name="_Toc27298"/>
      <w:r>
        <w:rPr>
          <w:rFonts w:hint="eastAsia" w:eastAsia="宋体"/>
          <w:sz w:val="28"/>
          <w:szCs w:val="28"/>
        </w:rPr>
        <w:t>七、合同期限</w:t>
      </w:r>
      <w:bookmarkEnd w:id="29"/>
    </w:p>
    <w:p>
      <w:pPr>
        <w:spacing w:line="324" w:lineRule="auto"/>
        <w:rPr>
          <w:rFonts w:cs="仿宋"/>
          <w:color w:val="auto"/>
          <w:highlight w:val="none"/>
        </w:rPr>
      </w:pPr>
      <w:r>
        <w:rPr>
          <w:rFonts w:hint="eastAsia" w:cs="仿宋"/>
        </w:rPr>
        <w:t>海南自由贸易港船员考试英文题库建设的期限：</w:t>
      </w:r>
      <w:r>
        <w:rPr>
          <w:rFonts w:cs="仿宋"/>
          <w:color w:val="auto"/>
          <w:highlight w:val="none"/>
        </w:rPr>
        <w:t xml:space="preserve">**年**月**日 至 **年**月**日 </w:t>
      </w:r>
    </w:p>
    <w:p>
      <w:pPr>
        <w:pStyle w:val="4"/>
        <w:rPr>
          <w:rFonts w:eastAsia="宋体"/>
          <w:sz w:val="28"/>
          <w:szCs w:val="28"/>
        </w:rPr>
      </w:pPr>
      <w:bookmarkStart w:id="30" w:name="_Toc26363"/>
      <w:r>
        <w:rPr>
          <w:rFonts w:hint="eastAsia" w:eastAsia="宋体"/>
          <w:sz w:val="28"/>
          <w:szCs w:val="28"/>
        </w:rPr>
        <w:t>八、违约责任</w:t>
      </w:r>
      <w:bookmarkEnd w:id="30"/>
    </w:p>
    <w:p>
      <w:pPr>
        <w:spacing w:line="324" w:lineRule="auto"/>
        <w:ind w:left="-3" w:leftChars="-1"/>
        <w:rPr>
          <w:rFonts w:cs="仿宋"/>
          <w:color w:val="000000"/>
        </w:rPr>
      </w:pPr>
      <w:r>
        <w:rPr>
          <w:rFonts w:hint="eastAsia" w:cs="仿宋"/>
        </w:rPr>
        <w:t>1.由于乙方责任，导致外国籍船员考试过程中断或考试事故，</w:t>
      </w:r>
      <w:r>
        <w:rPr>
          <w:rFonts w:hint="eastAsia" w:cs="仿宋"/>
          <w:color w:val="000000"/>
        </w:rPr>
        <w:t>若事故出现次数超过10次，甲方有权选择下述方式之一：</w:t>
      </w:r>
    </w:p>
    <w:p>
      <w:pPr>
        <w:spacing w:line="324" w:lineRule="auto"/>
        <w:ind w:left="-3" w:leftChars="-1"/>
        <w:rPr>
          <w:rFonts w:cs="仿宋"/>
        </w:rPr>
      </w:pPr>
      <w:r>
        <w:rPr>
          <w:rFonts w:hint="eastAsia" w:cs="仿宋"/>
        </w:rPr>
        <w:t>1）解除或终止合同，要求乙方退还甲方已支付其的全部费用（含利息，按中国人民银行公布的同期贷款利率计算），并承担由此给甲方造成的一切经济损失和赔偿责任。</w:t>
      </w:r>
    </w:p>
    <w:p>
      <w:pPr>
        <w:spacing w:line="324" w:lineRule="auto"/>
        <w:ind w:left="-3" w:leftChars="-1"/>
        <w:rPr>
          <w:rFonts w:cs="仿宋"/>
          <w:color w:val="000000"/>
        </w:rPr>
      </w:pPr>
      <w:r>
        <w:rPr>
          <w:rFonts w:hint="eastAsia" w:cs="仿宋"/>
        </w:rPr>
        <w:t>2）继续履行合同，乙方须向甲方支付合同金额的</w:t>
      </w:r>
      <w:r>
        <w:rPr>
          <w:rFonts w:cs="仿宋"/>
          <w:highlight w:val="none"/>
        </w:rPr>
        <w:t>10%作为违约金</w:t>
      </w:r>
      <w:r>
        <w:rPr>
          <w:rFonts w:hint="eastAsia" w:cs="仿宋"/>
          <w:highlight w:val="none"/>
        </w:rPr>
        <w:t>，</w:t>
      </w:r>
      <w:r>
        <w:rPr>
          <w:rFonts w:hint="eastAsia" w:cs="仿宋"/>
        </w:rPr>
        <w:t>计</w:t>
      </w:r>
      <w:r>
        <w:rPr>
          <w:rFonts w:hint="eastAsia" w:cs="仿宋"/>
          <w:u w:val="single"/>
        </w:rPr>
        <w:t>人民币****元整（￥****元）</w:t>
      </w:r>
      <w:r>
        <w:rPr>
          <w:rFonts w:hint="eastAsia" w:cs="仿宋"/>
          <w:color w:val="000000"/>
        </w:rPr>
        <w:t>。</w:t>
      </w:r>
    </w:p>
    <w:p>
      <w:pPr>
        <w:spacing w:line="324" w:lineRule="auto"/>
        <w:ind w:left="-3" w:leftChars="-1"/>
        <w:rPr>
          <w:rFonts w:cs="仿宋"/>
          <w:color w:val="000000"/>
        </w:rPr>
      </w:pPr>
      <w:r>
        <w:rPr>
          <w:rFonts w:hint="eastAsia" w:cs="仿宋"/>
          <w:color w:val="000000"/>
        </w:rPr>
        <w:t>2.乙方不按照合同约定提供服务，甲方有权要求乙方支付本合同</w:t>
      </w:r>
      <w:r>
        <w:rPr>
          <w:rFonts w:hint="eastAsia" w:cs="仿宋"/>
          <w:strike w:val="0"/>
          <w:dstrike w:val="0"/>
          <w:color w:val="auto"/>
        </w:rPr>
        <w:t>金额</w:t>
      </w:r>
      <w:r>
        <w:rPr>
          <w:rFonts w:cs="仿宋"/>
          <w:highlight w:val="none"/>
        </w:rPr>
        <w:t>10%</w:t>
      </w:r>
      <w:r>
        <w:rPr>
          <w:rFonts w:hint="eastAsia" w:cs="仿宋"/>
          <w:strike w:val="0"/>
          <w:dstrike w:val="0"/>
          <w:color w:val="auto"/>
          <w:highlight w:val="none"/>
        </w:rPr>
        <w:t>的违约金</w:t>
      </w:r>
      <w:r>
        <w:rPr>
          <w:rFonts w:hint="eastAsia" w:cs="仿宋"/>
        </w:rPr>
        <w:t>，计</w:t>
      </w:r>
      <w:r>
        <w:rPr>
          <w:rFonts w:hint="eastAsia" w:cs="仿宋"/>
          <w:u w:val="single"/>
        </w:rPr>
        <w:t>人民币***元整（￥****元）</w:t>
      </w:r>
      <w:r>
        <w:rPr>
          <w:rFonts w:hint="eastAsia" w:cs="仿宋"/>
          <w:color w:val="000000"/>
        </w:rPr>
        <w:t>。本条支付违约金的情形，包括但不限于系统正常运行所需提供的必要服务：</w:t>
      </w:r>
    </w:p>
    <w:p>
      <w:pPr>
        <w:spacing w:line="324" w:lineRule="auto"/>
        <w:ind w:left="-3" w:leftChars="-1"/>
        <w:rPr>
          <w:rFonts w:cs="仿宋"/>
        </w:rPr>
      </w:pPr>
      <w:r>
        <w:rPr>
          <w:rFonts w:hint="eastAsia" w:cs="仿宋"/>
        </w:rPr>
        <w:t>1）项目验收连续不达标3次；</w:t>
      </w:r>
    </w:p>
    <w:p>
      <w:pPr>
        <w:spacing w:line="324" w:lineRule="auto"/>
        <w:ind w:left="-3" w:leftChars="-1"/>
        <w:rPr>
          <w:rFonts w:cs="仿宋"/>
        </w:rPr>
      </w:pPr>
      <w:r>
        <w:rPr>
          <w:rFonts w:hint="eastAsia" w:cs="仿宋"/>
        </w:rPr>
        <w:t>2）考试系统开发和维护合理投诉3次以上；</w:t>
      </w:r>
    </w:p>
    <w:p>
      <w:pPr>
        <w:spacing w:line="324" w:lineRule="auto"/>
        <w:ind w:left="-3" w:leftChars="-1"/>
        <w:rPr>
          <w:rFonts w:cs="仿宋"/>
        </w:rPr>
      </w:pPr>
      <w:r>
        <w:rPr>
          <w:rFonts w:hint="eastAsia" w:cs="仿宋"/>
        </w:rPr>
        <w:t>3）本合同要求的成果物或报告未按时提交或内容不完整3次；</w:t>
      </w:r>
    </w:p>
    <w:p>
      <w:pPr>
        <w:spacing w:line="324" w:lineRule="auto"/>
        <w:ind w:left="-3" w:leftChars="-1"/>
        <w:rPr>
          <w:rFonts w:cs="仿宋"/>
        </w:rPr>
      </w:pPr>
      <w:r>
        <w:rPr>
          <w:rFonts w:cs="仿宋"/>
        </w:rPr>
        <w:t>4</w:t>
      </w:r>
      <w:r>
        <w:rPr>
          <w:rFonts w:hint="eastAsia" w:cs="仿宋"/>
        </w:rPr>
        <w:t>）其他可能影响考试过程正常运行的情形。</w:t>
      </w:r>
    </w:p>
    <w:p>
      <w:pPr>
        <w:spacing w:line="324" w:lineRule="auto"/>
        <w:ind w:left="-3" w:leftChars="-1"/>
        <w:rPr>
          <w:rFonts w:cs="仿宋"/>
        </w:rPr>
      </w:pPr>
      <w:r>
        <w:rPr>
          <w:rFonts w:hint="eastAsia" w:cs="仿宋"/>
          <w:color w:val="000000"/>
        </w:rPr>
        <w:t>发生以上情形时，违约金可以累积计算</w:t>
      </w:r>
      <w:r>
        <w:rPr>
          <w:rFonts w:hint="eastAsia" w:cs="仿宋"/>
        </w:rPr>
        <w:t>。</w:t>
      </w:r>
    </w:p>
    <w:p>
      <w:pPr>
        <w:spacing w:line="324" w:lineRule="auto"/>
        <w:ind w:left="-3" w:leftChars="-1"/>
        <w:rPr>
          <w:rFonts w:cs="仿宋"/>
        </w:rPr>
      </w:pPr>
      <w:r>
        <w:rPr>
          <w:rFonts w:hint="eastAsia" w:cs="仿宋"/>
        </w:rPr>
        <w:t>3.乙方未经甲方同意，擅自对后台考试数据进行修改，甲方有权要求乙方支付违约金。出现次数每出现1次，乙方需支付甲方本合同金额</w:t>
      </w:r>
      <w:r>
        <w:rPr>
          <w:rFonts w:hint="eastAsia" w:cs="仿宋"/>
          <w:highlight w:val="none"/>
        </w:rPr>
        <w:t>的</w:t>
      </w:r>
      <w:r>
        <w:rPr>
          <w:rFonts w:cs="仿宋"/>
          <w:highlight w:val="none"/>
        </w:rPr>
        <w:t>5%的违约</w:t>
      </w:r>
      <w:r>
        <w:rPr>
          <w:rFonts w:hint="eastAsia" w:cs="仿宋"/>
        </w:rPr>
        <w:t>金，计</w:t>
      </w:r>
      <w:r>
        <w:rPr>
          <w:rFonts w:hint="eastAsia" w:cs="仿宋"/>
          <w:u w:val="single"/>
        </w:rPr>
        <w:t>人民币****元整（￥****元）</w:t>
      </w:r>
      <w:r>
        <w:rPr>
          <w:rFonts w:hint="eastAsia" w:cs="仿宋"/>
        </w:rPr>
        <w:t>；</w:t>
      </w:r>
    </w:p>
    <w:p>
      <w:pPr>
        <w:spacing w:line="324" w:lineRule="auto"/>
        <w:ind w:left="-3" w:leftChars="-1"/>
        <w:rPr>
          <w:rFonts w:cs="仿宋"/>
        </w:rPr>
      </w:pPr>
      <w:r>
        <w:rPr>
          <w:rFonts w:hint="eastAsia" w:cs="仿宋"/>
        </w:rPr>
        <w:t>4.项目实施过程中，因乙方原因导致甲方出现的相关损失，由乙方承担赔偿责任。</w:t>
      </w:r>
    </w:p>
    <w:p>
      <w:pPr>
        <w:spacing w:line="324" w:lineRule="auto"/>
        <w:ind w:left="-3" w:leftChars="-1"/>
        <w:rPr>
          <w:rFonts w:cs="仿宋"/>
        </w:rPr>
      </w:pPr>
      <w:r>
        <w:rPr>
          <w:rFonts w:hint="eastAsia" w:cs="仿宋"/>
        </w:rPr>
        <w:t>5.因乙方违反保密义务给甲方造成的损失，乙方须予以全额赔偿。</w:t>
      </w:r>
    </w:p>
    <w:p>
      <w:pPr>
        <w:spacing w:line="324" w:lineRule="auto"/>
        <w:ind w:left="-3" w:leftChars="-1"/>
        <w:rPr>
          <w:rFonts w:cs="仿宋"/>
        </w:rPr>
      </w:pPr>
      <w:r>
        <w:rPr>
          <w:rFonts w:hint="eastAsia" w:cs="仿宋"/>
        </w:rPr>
        <w:t>6.在合同履约过程中，甲、乙双方应忠实地履行各自的义务，不得无故违约。一方违约，由此而给对方造成损失的，应承担相应的赔偿责任。</w:t>
      </w:r>
    </w:p>
    <w:p>
      <w:pPr>
        <w:pStyle w:val="4"/>
        <w:rPr>
          <w:rFonts w:eastAsia="宋体"/>
          <w:sz w:val="28"/>
          <w:szCs w:val="28"/>
        </w:rPr>
      </w:pPr>
      <w:bookmarkStart w:id="31" w:name="_Toc25974"/>
      <w:r>
        <w:rPr>
          <w:rFonts w:hint="eastAsia" w:eastAsia="宋体"/>
          <w:sz w:val="28"/>
          <w:szCs w:val="28"/>
        </w:rPr>
        <w:t>九、纠纷解决</w:t>
      </w:r>
      <w:bookmarkEnd w:id="31"/>
    </w:p>
    <w:p>
      <w:pPr>
        <w:spacing w:line="324" w:lineRule="auto"/>
        <w:ind w:left="-3" w:leftChars="-1"/>
        <w:rPr>
          <w:rFonts w:cs="仿宋"/>
        </w:rPr>
      </w:pPr>
      <w:r>
        <w:rPr>
          <w:rFonts w:hint="eastAsia" w:cs="仿宋"/>
        </w:rPr>
        <w:t>与本合同有关的任何争议，双方应通过友好协商的方式解决。经协商在 60 天内不能达成协议时，任何一方均可向甲方所在地有管辖权的人民法院提起诉讼解决。</w:t>
      </w:r>
    </w:p>
    <w:p>
      <w:pPr>
        <w:pStyle w:val="4"/>
        <w:rPr>
          <w:rFonts w:eastAsia="宋体"/>
          <w:sz w:val="28"/>
          <w:szCs w:val="28"/>
        </w:rPr>
      </w:pPr>
      <w:bookmarkStart w:id="32" w:name="_Toc14758"/>
      <w:r>
        <w:rPr>
          <w:rFonts w:hint="eastAsia" w:eastAsia="宋体"/>
          <w:sz w:val="28"/>
          <w:szCs w:val="28"/>
        </w:rPr>
        <w:t>十、不可抗力</w:t>
      </w:r>
      <w:bookmarkEnd w:id="32"/>
    </w:p>
    <w:p>
      <w:pPr>
        <w:spacing w:line="324" w:lineRule="auto"/>
        <w:ind w:left="-3" w:leftChars="-1"/>
        <w:rPr>
          <w:rFonts w:cs="仿宋"/>
        </w:rPr>
      </w:pPr>
      <w:r>
        <w:rPr>
          <w:rFonts w:hint="eastAsia" w:cs="仿宋"/>
        </w:rPr>
        <w:t>1.由于地震、火灾、水灾、战争、政府行为、意外事件或其他非双方所能控制及预见的事件等不可抗力致使合同无法履行时，无法履行合同义务的一方应将不能履行合同的事实通知另一方，经对方同意后，合同自动解除，已经实际发生的费用不再追究。</w:t>
      </w:r>
    </w:p>
    <w:p>
      <w:pPr>
        <w:spacing w:line="324" w:lineRule="auto"/>
        <w:ind w:left="-3" w:leftChars="-1"/>
        <w:rPr>
          <w:rFonts w:cs="仿宋"/>
        </w:rPr>
      </w:pPr>
      <w:r>
        <w:rPr>
          <w:rFonts w:hint="eastAsia" w:cs="仿宋"/>
        </w:rPr>
        <w:t>2.在履行合同过程中，由于不可抗力原因导致乙方不能按时交付本项目软件产品和应用开发等服务，乙方应及时以书面形式将不能按时交付的理由、延误时间通知甲方。甲方在收到乙方通知后，应对情况进行分析，决定是否同意延期、修改合同或终止合同。</w:t>
      </w:r>
    </w:p>
    <w:p>
      <w:pPr>
        <w:spacing w:line="324" w:lineRule="auto"/>
        <w:ind w:left="-3" w:leftChars="-1"/>
        <w:rPr>
          <w:rFonts w:cs="宋体"/>
          <w:b/>
          <w:bCs/>
        </w:rPr>
      </w:pPr>
      <w:r>
        <w:rPr>
          <w:rFonts w:hint="eastAsia" w:cs="仿宋"/>
        </w:rPr>
        <w:t>3.受事故影响的一方应在不可抗力发生后尽快以传真、电报通知另一方，并在事故发生之日起14天内，将有关部门出具的证明文件用挂号信寄给另一方。如果不可抗力影响时间延续120天以上时，双方应通过友好协商在合理的时间内达成进一步履行合同的协议。</w:t>
      </w:r>
    </w:p>
    <w:p>
      <w:pPr>
        <w:pStyle w:val="4"/>
        <w:rPr>
          <w:rFonts w:eastAsia="宋体"/>
          <w:sz w:val="28"/>
          <w:szCs w:val="28"/>
        </w:rPr>
      </w:pPr>
      <w:bookmarkStart w:id="33" w:name="_Toc3999"/>
      <w:r>
        <w:rPr>
          <w:rFonts w:hint="eastAsia" w:eastAsia="宋体"/>
          <w:sz w:val="28"/>
          <w:szCs w:val="28"/>
        </w:rPr>
        <w:t>十一、合同变更</w:t>
      </w:r>
      <w:bookmarkEnd w:id="33"/>
    </w:p>
    <w:p>
      <w:pPr>
        <w:spacing w:line="324" w:lineRule="auto"/>
        <w:ind w:left="-3" w:leftChars="-1"/>
        <w:rPr>
          <w:rFonts w:cs="仿宋"/>
        </w:rPr>
      </w:pPr>
      <w:r>
        <w:rPr>
          <w:rFonts w:hint="eastAsia" w:cs="仿宋"/>
        </w:rPr>
        <w:t>1.本合同履行过程中，双方经协商一致达成书面协议可以变更本合同。</w:t>
      </w:r>
    </w:p>
    <w:p>
      <w:pPr>
        <w:spacing w:line="324" w:lineRule="auto"/>
        <w:ind w:left="-3" w:leftChars="-1"/>
        <w:rPr>
          <w:rFonts w:cs="仿宋"/>
        </w:rPr>
      </w:pPr>
      <w:r>
        <w:rPr>
          <w:rFonts w:hint="eastAsia" w:cs="仿宋"/>
        </w:rPr>
        <w:t>2.凡是涉及到工期或合同金额的变更，应由本合同指定的甲、乙双方负责人参与协商并签署书面协议方可生效。</w:t>
      </w:r>
    </w:p>
    <w:p>
      <w:pPr>
        <w:spacing w:line="324" w:lineRule="auto"/>
        <w:ind w:left="-3" w:leftChars="-1"/>
        <w:rPr>
          <w:rFonts w:cs="仿宋"/>
        </w:rPr>
      </w:pPr>
      <w:r>
        <w:rPr>
          <w:rFonts w:hint="eastAsia" w:cs="仿宋"/>
        </w:rPr>
        <w:t>3.在本项目正常实施过程中，由于甲方业务和功能需求变更导致的任何实施方案的变化，都必须由本合同指定的甲、乙双方负责人以报告、会议纪要、备忘录等书面形式签署方可生效。</w:t>
      </w:r>
    </w:p>
    <w:p>
      <w:pPr>
        <w:spacing w:line="324" w:lineRule="auto"/>
        <w:ind w:left="-3" w:leftChars="-1"/>
        <w:rPr>
          <w:rFonts w:cs="仿宋"/>
        </w:rPr>
      </w:pPr>
      <w:r>
        <w:rPr>
          <w:rFonts w:hint="eastAsia" w:cs="仿宋"/>
        </w:rPr>
        <w:t>4.对于违反以上原则的以双方参与项目人员名义作出的任何口头或书面形式的承诺、行为，都不能代表所在方意见，该种行为完全是其个人行为，双方皆同意由此发生的所有法律后果都由其个人承担，无权向对方主张任何权利。</w:t>
      </w:r>
    </w:p>
    <w:p>
      <w:pPr>
        <w:spacing w:line="324" w:lineRule="auto"/>
        <w:ind w:left="-3" w:leftChars="-1"/>
        <w:rPr>
          <w:rFonts w:cs="仿宋"/>
        </w:rPr>
      </w:pPr>
      <w:r>
        <w:rPr>
          <w:rFonts w:hint="eastAsia" w:cs="仿宋"/>
        </w:rPr>
        <w:t>5.发生下列情形之一，任何一方有权用书面形式通知对方解除合同：</w:t>
      </w:r>
    </w:p>
    <w:p>
      <w:pPr>
        <w:spacing w:line="324" w:lineRule="auto"/>
        <w:ind w:left="-3" w:leftChars="-1"/>
        <w:rPr>
          <w:rFonts w:cs="仿宋"/>
        </w:rPr>
      </w:pPr>
      <w:r>
        <w:rPr>
          <w:rFonts w:hint="eastAsia" w:cs="仿宋"/>
        </w:rPr>
        <w:t>1）一方违反本合同，对方以书面通知其纠正违约行为，违约方在收到书面通知后15日内仍未能纠正其违约行为的；</w:t>
      </w:r>
    </w:p>
    <w:p>
      <w:pPr>
        <w:spacing w:line="324" w:lineRule="auto"/>
        <w:ind w:left="-3" w:leftChars="-1"/>
        <w:rPr>
          <w:rFonts w:cs="仿宋"/>
        </w:rPr>
      </w:pPr>
      <w:r>
        <w:rPr>
          <w:rFonts w:hint="eastAsia" w:cs="仿宋"/>
        </w:rPr>
        <w:t>2）对方在订立本合同或交付合同中涉及的文件中所做的意思表示不真实或有明显的欺诈行为的；</w:t>
      </w:r>
    </w:p>
    <w:p>
      <w:pPr>
        <w:spacing w:line="324" w:lineRule="auto"/>
        <w:ind w:left="-3" w:leftChars="-1"/>
        <w:rPr>
          <w:rFonts w:cs="仿宋"/>
        </w:rPr>
      </w:pPr>
      <w:r>
        <w:rPr>
          <w:rFonts w:hint="eastAsia" w:cs="仿宋"/>
        </w:rPr>
        <w:t>3）对方停业、关闭或者破产的；</w:t>
      </w:r>
    </w:p>
    <w:p>
      <w:pPr>
        <w:spacing w:line="324" w:lineRule="auto"/>
        <w:ind w:left="-3" w:leftChars="-1"/>
        <w:rPr>
          <w:rFonts w:cs="仿宋"/>
        </w:rPr>
      </w:pPr>
      <w:r>
        <w:rPr>
          <w:rFonts w:hint="eastAsia" w:cs="仿宋"/>
        </w:rPr>
        <w:t>4）对方履行本合同义务不合法或将成为不合法；或者发生不可抗力事件，致使合同义务全部或部分不能履行的；</w:t>
      </w:r>
    </w:p>
    <w:p>
      <w:pPr>
        <w:spacing w:line="324" w:lineRule="auto"/>
        <w:ind w:left="-3" w:leftChars="-1"/>
        <w:rPr>
          <w:rFonts w:cs="仿宋"/>
        </w:rPr>
      </w:pPr>
      <w:r>
        <w:rPr>
          <w:rFonts w:hint="eastAsia" w:cs="仿宋"/>
        </w:rPr>
        <w:t>5）因本条原因解除合同，不应损害本合同解除前已履行的部分；同时，合同规定的保密义务不因合同解除而解除。</w:t>
      </w:r>
    </w:p>
    <w:p>
      <w:pPr>
        <w:pStyle w:val="4"/>
        <w:rPr>
          <w:rFonts w:eastAsia="宋体"/>
          <w:color w:val="auto"/>
          <w:sz w:val="28"/>
          <w:szCs w:val="28"/>
        </w:rPr>
      </w:pPr>
      <w:bookmarkStart w:id="34" w:name="_Toc4548"/>
      <w:bookmarkStart w:id="35" w:name="_Toc103466286"/>
      <w:r>
        <w:rPr>
          <w:rFonts w:hint="eastAsia" w:eastAsia="宋体"/>
          <w:color w:val="auto"/>
          <w:sz w:val="28"/>
          <w:szCs w:val="28"/>
        </w:rPr>
        <w:t>十二、履约保证金</w:t>
      </w:r>
      <w:bookmarkEnd w:id="34"/>
      <w:bookmarkEnd w:id="35"/>
    </w:p>
    <w:p>
      <w:pPr>
        <w:spacing w:line="324" w:lineRule="auto"/>
        <w:ind w:left="-3" w:leftChars="-1"/>
        <w:rPr>
          <w:rFonts w:cs="仿宋"/>
          <w:color w:val="auto"/>
        </w:rPr>
      </w:pPr>
      <w:r>
        <w:rPr>
          <w:rFonts w:hint="eastAsia" w:cs="仿宋"/>
          <w:color w:val="auto"/>
        </w:rPr>
        <w:t>1.履约保证金用于提取违约金或补偿甲方因乙方不能履行其合同义务而蒙受的损失。</w:t>
      </w:r>
    </w:p>
    <w:p>
      <w:pPr>
        <w:spacing w:line="324" w:lineRule="auto"/>
        <w:ind w:left="-3" w:leftChars="-1"/>
        <w:rPr>
          <w:rFonts w:cs="仿宋"/>
          <w:color w:val="auto"/>
        </w:rPr>
      </w:pPr>
      <w:r>
        <w:rPr>
          <w:rFonts w:hint="eastAsia" w:cs="仿宋"/>
          <w:color w:val="auto"/>
        </w:rPr>
        <w:t>2.履约保证金应使用本合同货币，按下述方式之一提交：</w:t>
      </w:r>
    </w:p>
    <w:p>
      <w:pPr>
        <w:spacing w:line="324" w:lineRule="auto"/>
        <w:ind w:left="-3" w:leftChars="-1"/>
        <w:rPr>
          <w:rFonts w:cs="仿宋"/>
          <w:color w:val="auto"/>
        </w:rPr>
      </w:pPr>
      <w:r>
        <w:rPr>
          <w:rFonts w:hint="eastAsia" w:cs="仿宋"/>
          <w:color w:val="auto"/>
        </w:rPr>
        <w:t>A.甲方可接受的在中华人民共和国注册和营业的银行提供的履约保函（无条件、不可撤销的“见索即付”保函，保函期限与质保期相匹配）。</w:t>
      </w:r>
    </w:p>
    <w:p>
      <w:pPr>
        <w:spacing w:line="324" w:lineRule="auto"/>
        <w:ind w:left="-3" w:leftChars="-1"/>
        <w:rPr>
          <w:rFonts w:cs="仿宋"/>
          <w:color w:val="auto"/>
        </w:rPr>
      </w:pPr>
      <w:r>
        <w:rPr>
          <w:rFonts w:hint="eastAsia" w:cs="仿宋"/>
          <w:color w:val="auto"/>
        </w:rPr>
        <w:t>B.支票、汇票。</w:t>
      </w:r>
    </w:p>
    <w:p>
      <w:pPr>
        <w:spacing w:line="324" w:lineRule="auto"/>
        <w:ind w:left="-3" w:leftChars="-1"/>
        <w:rPr>
          <w:rFonts w:cs="仿宋"/>
          <w:color w:val="auto"/>
        </w:rPr>
      </w:pPr>
      <w:r>
        <w:rPr>
          <w:rFonts w:hint="eastAsia" w:cs="仿宋"/>
          <w:color w:val="auto"/>
        </w:rPr>
        <w:t>乙方应按</w:t>
      </w:r>
      <w:r>
        <w:rPr>
          <w:rFonts w:hint="eastAsia" w:cs="仿宋"/>
          <w:color w:val="auto"/>
          <w:u w:val="single"/>
        </w:rPr>
        <w:t xml:space="preserve">  A  </w:t>
      </w:r>
      <w:r>
        <w:rPr>
          <w:rFonts w:hint="eastAsia" w:cs="仿宋"/>
          <w:color w:val="auto"/>
        </w:rPr>
        <w:t>方式向甲方提交合同总价</w:t>
      </w:r>
      <w:r>
        <w:rPr>
          <w:rFonts w:cs="仿宋"/>
          <w:color w:val="auto"/>
          <w:u w:val="single"/>
        </w:rPr>
        <w:t>5</w:t>
      </w:r>
      <w:r>
        <w:rPr>
          <w:rFonts w:hint="eastAsia" w:cs="仿宋"/>
          <w:color w:val="auto"/>
          <w:u w:val="single"/>
        </w:rPr>
        <w:t>％</w:t>
      </w:r>
      <w:r>
        <w:rPr>
          <w:rFonts w:hint="eastAsia" w:cs="仿宋"/>
          <w:color w:val="auto"/>
        </w:rPr>
        <w:t>的履约保证金。</w:t>
      </w:r>
    </w:p>
    <w:p>
      <w:pPr>
        <w:spacing w:line="324" w:lineRule="auto"/>
        <w:ind w:left="-3" w:leftChars="-1"/>
        <w:rPr>
          <w:rFonts w:cs="仿宋"/>
          <w:color w:val="auto"/>
        </w:rPr>
      </w:pPr>
      <w:r>
        <w:rPr>
          <w:rFonts w:hint="eastAsia" w:cs="仿宋"/>
          <w:color w:val="auto"/>
        </w:rPr>
        <w:t>3.如果乙方未能按合同规定履行其义务，甲方有权在通知乙方后，从履约保证金中取得补偿。项目服务期结束且完成本合同第四条服务内容后</w:t>
      </w:r>
      <w:r>
        <w:rPr>
          <w:rFonts w:hint="eastAsia" w:cs="仿宋"/>
          <w:color w:val="auto"/>
          <w:u w:val="single"/>
        </w:rPr>
        <w:t>30</w:t>
      </w:r>
      <w:r>
        <w:rPr>
          <w:rFonts w:hint="eastAsia" w:cs="仿宋"/>
          <w:color w:val="auto"/>
        </w:rPr>
        <w:t>个工作日（质保期）内，甲方把剩余的履约保证金退还乙方。</w:t>
      </w:r>
    </w:p>
    <w:p>
      <w:pPr>
        <w:spacing w:line="324" w:lineRule="auto"/>
        <w:ind w:left="-3" w:leftChars="-1"/>
        <w:rPr>
          <w:rFonts w:cs="仿宋"/>
          <w:color w:val="auto"/>
        </w:rPr>
      </w:pPr>
      <w:r>
        <w:rPr>
          <w:rFonts w:hint="eastAsia" w:cs="仿宋"/>
          <w:color w:val="auto"/>
        </w:rPr>
        <w:t>4.履约保证金数额少于合同约定的违约金或乙方违约造成损失的，乙方仍应承担相应的责任。</w:t>
      </w:r>
    </w:p>
    <w:p>
      <w:pPr>
        <w:pStyle w:val="2"/>
        <w:ind w:firstLine="440"/>
      </w:pPr>
    </w:p>
    <w:p>
      <w:pPr>
        <w:pStyle w:val="4"/>
        <w:rPr>
          <w:rFonts w:eastAsia="宋体"/>
          <w:sz w:val="28"/>
          <w:szCs w:val="28"/>
        </w:rPr>
      </w:pPr>
      <w:bookmarkStart w:id="36" w:name="_Toc19480"/>
      <w:r>
        <w:rPr>
          <w:rFonts w:hint="eastAsia" w:eastAsia="宋体"/>
          <w:sz w:val="28"/>
          <w:szCs w:val="28"/>
        </w:rPr>
        <w:t>十三、送达</w:t>
      </w:r>
      <w:bookmarkEnd w:id="36"/>
    </w:p>
    <w:p>
      <w:pPr>
        <w:spacing w:line="324" w:lineRule="auto"/>
        <w:ind w:left="-3" w:leftChars="-1"/>
        <w:rPr>
          <w:rFonts w:cs="仿宋"/>
        </w:rPr>
      </w:pPr>
      <w:r>
        <w:rPr>
          <w:rFonts w:hint="eastAsia" w:cs="仿宋"/>
        </w:rPr>
        <w:t>按照本合同发出的任何通知应当采取书面形式，送达方式可以采取下列方式之一：</w:t>
      </w:r>
    </w:p>
    <w:p>
      <w:pPr>
        <w:spacing w:line="324" w:lineRule="auto"/>
        <w:ind w:left="-3" w:leftChars="-1"/>
        <w:rPr>
          <w:rFonts w:cs="仿宋"/>
        </w:rPr>
      </w:pPr>
      <w:r>
        <w:rPr>
          <w:rFonts w:hint="eastAsia" w:cs="仿宋"/>
        </w:rPr>
        <w:t>1.将通知发送至接收方的传真号。但接收方另行通知发送方的情况除外；</w:t>
      </w:r>
    </w:p>
    <w:p>
      <w:pPr>
        <w:spacing w:line="324" w:lineRule="auto"/>
        <w:ind w:left="-3" w:leftChars="-1"/>
        <w:rPr>
          <w:rFonts w:cs="仿宋"/>
        </w:rPr>
      </w:pPr>
      <w:r>
        <w:rPr>
          <w:rFonts w:hint="eastAsia" w:cs="仿宋"/>
        </w:rPr>
        <w:t>2.以专人送递或以特快专递方法送至接收方的法定地址或接收方通知发送方的其他地址；</w:t>
      </w:r>
    </w:p>
    <w:p>
      <w:pPr>
        <w:spacing w:line="324" w:lineRule="auto"/>
        <w:ind w:left="-3" w:leftChars="-1"/>
        <w:rPr>
          <w:rFonts w:cs="仿宋"/>
        </w:rPr>
      </w:pPr>
      <w:r>
        <w:rPr>
          <w:rFonts w:hint="eastAsia" w:cs="仿宋"/>
        </w:rPr>
        <w:t>3.按照本合同发送的解除合同通知，如果以传真方式发送，在传真发出后的24小时内，应当以特快专递方式将通知正本送达接收方，以便加以确认。</w:t>
      </w:r>
    </w:p>
    <w:p>
      <w:pPr>
        <w:spacing w:line="324" w:lineRule="auto"/>
        <w:ind w:left="-3" w:leftChars="-1"/>
        <w:rPr>
          <w:rFonts w:cs="仿宋"/>
        </w:rPr>
      </w:pPr>
      <w:r>
        <w:rPr>
          <w:rFonts w:hint="eastAsia" w:cs="仿宋"/>
        </w:rPr>
        <w:t>4.本合同任何一方变更地址，应当以书面形式及时通知对方，否则，应承担由此导致的通知不能送达的法律后果。</w:t>
      </w:r>
    </w:p>
    <w:p>
      <w:pPr>
        <w:pStyle w:val="4"/>
        <w:rPr>
          <w:rFonts w:eastAsia="宋体"/>
          <w:sz w:val="28"/>
          <w:szCs w:val="28"/>
        </w:rPr>
      </w:pPr>
      <w:bookmarkStart w:id="37" w:name="_Toc13310"/>
      <w:r>
        <w:rPr>
          <w:rFonts w:hint="eastAsia" w:eastAsia="宋体"/>
          <w:sz w:val="28"/>
          <w:szCs w:val="28"/>
        </w:rPr>
        <w:t>十四、合同附件</w:t>
      </w:r>
      <w:bookmarkEnd w:id="37"/>
    </w:p>
    <w:p>
      <w:pPr>
        <w:tabs>
          <w:tab w:val="left" w:pos="2977"/>
        </w:tabs>
        <w:spacing w:line="324" w:lineRule="auto"/>
        <w:rPr>
          <w:rFonts w:cs="仿宋"/>
        </w:rPr>
      </w:pPr>
      <w:r>
        <w:rPr>
          <w:rFonts w:hint="eastAsia" w:cs="仿宋"/>
        </w:rPr>
        <w:t>合同附件是本合同不可分割的一部分，与本合同有同等效力。本合同的附件为：</w:t>
      </w:r>
    </w:p>
    <w:p>
      <w:pPr>
        <w:tabs>
          <w:tab w:val="left" w:pos="2977"/>
        </w:tabs>
        <w:spacing w:line="324" w:lineRule="auto"/>
        <w:rPr>
          <w:rFonts w:cs="仿宋"/>
        </w:rPr>
      </w:pPr>
      <w:r>
        <w:rPr>
          <w:rFonts w:hint="eastAsia" w:cs="仿宋"/>
        </w:rPr>
        <w:t>1.附件一《保密责任书》</w:t>
      </w:r>
    </w:p>
    <w:p>
      <w:pPr>
        <w:tabs>
          <w:tab w:val="left" w:pos="2977"/>
        </w:tabs>
        <w:spacing w:line="324" w:lineRule="auto"/>
        <w:rPr>
          <w:rFonts w:cs="仿宋"/>
          <w:kern w:val="0"/>
        </w:rPr>
      </w:pPr>
      <w:r>
        <w:rPr>
          <w:rFonts w:hint="eastAsia" w:cs="仿宋"/>
          <w:kern w:val="0"/>
        </w:rPr>
        <w:t>2.附件二《安全责任书》</w:t>
      </w:r>
    </w:p>
    <w:p>
      <w:pPr>
        <w:pStyle w:val="4"/>
        <w:rPr>
          <w:rFonts w:eastAsia="宋体"/>
          <w:sz w:val="28"/>
          <w:szCs w:val="28"/>
        </w:rPr>
      </w:pPr>
      <w:bookmarkStart w:id="38" w:name="_Toc27670"/>
      <w:r>
        <w:rPr>
          <w:rFonts w:hint="eastAsia" w:eastAsia="宋体"/>
          <w:sz w:val="28"/>
          <w:szCs w:val="28"/>
        </w:rPr>
        <w:t>十五、合同生效及其他</w:t>
      </w:r>
      <w:bookmarkEnd w:id="38"/>
    </w:p>
    <w:p>
      <w:pPr>
        <w:tabs>
          <w:tab w:val="left" w:pos="2977"/>
        </w:tabs>
        <w:spacing w:line="324" w:lineRule="auto"/>
        <w:rPr>
          <w:rFonts w:cs="仿宋"/>
          <w:kern w:val="0"/>
        </w:rPr>
      </w:pPr>
      <w:r>
        <w:rPr>
          <w:rFonts w:hint="eastAsia" w:cs="仿宋"/>
          <w:kern w:val="0"/>
        </w:rPr>
        <w:t>本合同自甲乙双方签字并加盖公章或合同专用章之日起生效。</w:t>
      </w:r>
      <w:r>
        <w:rPr>
          <w:rFonts w:hint="eastAsia" w:cs="仿宋"/>
          <w:kern w:val="0"/>
        </w:rPr>
        <w:tab/>
      </w:r>
    </w:p>
    <w:p>
      <w:pPr>
        <w:tabs>
          <w:tab w:val="left" w:pos="2977"/>
        </w:tabs>
        <w:spacing w:line="324" w:lineRule="auto"/>
        <w:rPr>
          <w:rFonts w:cs="仿宋"/>
          <w:kern w:val="0"/>
        </w:rPr>
      </w:pPr>
      <w:r>
        <w:rPr>
          <w:rFonts w:hint="eastAsia" w:cs="仿宋"/>
          <w:kern w:val="0"/>
        </w:rPr>
        <w:t>本合同一式</w:t>
      </w:r>
      <w:r>
        <w:rPr>
          <w:rFonts w:hint="eastAsia" w:cs="仿宋"/>
          <w:kern w:val="0"/>
          <w:u w:val="single"/>
        </w:rPr>
        <w:t xml:space="preserve"> 陆 </w:t>
      </w:r>
      <w:r>
        <w:rPr>
          <w:rFonts w:hint="eastAsia" w:cs="仿宋"/>
          <w:kern w:val="0"/>
        </w:rPr>
        <w:t>份，双方各执</w:t>
      </w:r>
      <w:r>
        <w:rPr>
          <w:rFonts w:hint="eastAsia" w:cs="仿宋"/>
          <w:kern w:val="0"/>
          <w:u w:val="single"/>
        </w:rPr>
        <w:t xml:space="preserve"> 叁 </w:t>
      </w:r>
      <w:r>
        <w:rPr>
          <w:rFonts w:hint="eastAsia" w:cs="仿宋"/>
          <w:kern w:val="0"/>
        </w:rPr>
        <w:t>份，具有同等法律效力。</w:t>
      </w:r>
    </w:p>
    <w:p>
      <w:pPr>
        <w:spacing w:line="600" w:lineRule="exact"/>
        <w:sectPr>
          <w:pgSz w:w="11906" w:h="16838"/>
          <w:pgMar w:top="1440" w:right="1800" w:bottom="1440" w:left="1800" w:header="851" w:footer="992" w:gutter="0"/>
          <w:cols w:space="720" w:num="1"/>
          <w:docGrid w:type="lines" w:linePitch="312" w:charSpace="0"/>
        </w:sectPr>
      </w:pPr>
    </w:p>
    <w:tbl>
      <w:tblPr>
        <w:tblStyle w:val="34"/>
        <w:tblW w:w="8522"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641"/>
        <w:gridCol w:w="2056"/>
        <w:gridCol w:w="2011"/>
        <w:gridCol w:w="298"/>
        <w:gridCol w:w="564"/>
        <w:gridCol w:w="181"/>
        <w:gridCol w:w="1130"/>
        <w:gridCol w:w="164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26" w:hRule="atLeast"/>
        </w:trPr>
        <w:tc>
          <w:tcPr>
            <w:tcW w:w="641" w:type="dxa"/>
            <w:vMerge w:val="restart"/>
            <w:textDirection w:val="tbRlV"/>
            <w:vAlign w:val="center"/>
          </w:tcPr>
          <w:p>
            <w:pPr>
              <w:ind w:left="113" w:right="113" w:firstLine="0" w:firstLineChars="0"/>
              <w:jc w:val="center"/>
              <w:rPr>
                <w:b/>
                <w:spacing w:val="90"/>
                <w:sz w:val="24"/>
              </w:rPr>
            </w:pPr>
            <w:r>
              <w:rPr>
                <w:rFonts w:hint="eastAsia"/>
                <w:b/>
                <w:spacing w:val="90"/>
                <w:sz w:val="24"/>
              </w:rPr>
              <w:t>甲方</w:t>
            </w:r>
          </w:p>
        </w:tc>
        <w:tc>
          <w:tcPr>
            <w:tcW w:w="2056" w:type="dxa"/>
            <w:vAlign w:val="center"/>
          </w:tcPr>
          <w:p>
            <w:pPr>
              <w:ind w:firstLine="0" w:firstLineChars="0"/>
              <w:jc w:val="center"/>
              <w:rPr>
                <w:b/>
                <w:sz w:val="24"/>
              </w:rPr>
            </w:pPr>
            <w:r>
              <w:rPr>
                <w:rFonts w:hint="eastAsia"/>
                <w:b/>
                <w:sz w:val="24"/>
              </w:rPr>
              <w:t>名称（或姓名）</w:t>
            </w:r>
          </w:p>
        </w:tc>
        <w:tc>
          <w:tcPr>
            <w:tcW w:w="4184" w:type="dxa"/>
            <w:gridSpan w:val="5"/>
            <w:vAlign w:val="center"/>
          </w:tcPr>
          <w:p>
            <w:pPr>
              <w:ind w:firstLine="0" w:firstLineChars="0"/>
              <w:jc w:val="center"/>
              <w:rPr>
                <w:sz w:val="24"/>
              </w:rPr>
            </w:pPr>
            <w:r>
              <w:rPr>
                <w:rFonts w:hint="eastAsia"/>
                <w:sz w:val="24"/>
              </w:rPr>
              <w:t>中华人民共和国海南海事局（签章）</w:t>
            </w:r>
          </w:p>
        </w:tc>
        <w:tc>
          <w:tcPr>
            <w:tcW w:w="1641" w:type="dxa"/>
            <w:vMerge w:val="restart"/>
            <w:vAlign w:val="center"/>
          </w:tcPr>
          <w:p>
            <w:pPr>
              <w:ind w:firstLine="0" w:firstLineChars="0"/>
              <w:jc w:val="center"/>
              <w:rPr>
                <w:b/>
                <w:spacing w:val="-8"/>
              </w:rPr>
            </w:pPr>
            <w:r>
              <w:rPr>
                <w:rFonts w:hint="eastAsia"/>
                <w:b/>
                <w:spacing w:val="-8"/>
              </w:rPr>
              <w:t>技术合同专用章</w:t>
            </w:r>
          </w:p>
          <w:p>
            <w:pPr>
              <w:ind w:firstLine="0" w:firstLineChars="0"/>
              <w:jc w:val="center"/>
              <w:rPr>
                <w:b/>
              </w:rPr>
            </w:pPr>
            <w:r>
              <w:rPr>
                <w:rFonts w:hint="eastAsia"/>
                <w:b/>
              </w:rPr>
              <w:t>或</w:t>
            </w:r>
          </w:p>
          <w:p>
            <w:pPr>
              <w:ind w:firstLine="0" w:firstLineChars="0"/>
              <w:jc w:val="center"/>
              <w:rPr>
                <w:b/>
                <w:spacing w:val="10"/>
              </w:rPr>
            </w:pPr>
            <w:r>
              <w:rPr>
                <w:rFonts w:hint="eastAsia"/>
                <w:b/>
                <w:spacing w:val="10"/>
              </w:rPr>
              <w:t>单位公章</w:t>
            </w:r>
          </w:p>
          <w:p>
            <w:pPr>
              <w:ind w:firstLine="0" w:firstLineChars="0"/>
              <w:jc w:val="center"/>
              <w:rPr>
                <w:b/>
                <w:spacing w:val="10"/>
              </w:rPr>
            </w:pPr>
          </w:p>
          <w:p>
            <w:pPr>
              <w:ind w:firstLine="0" w:firstLineChars="0"/>
              <w:jc w:val="center"/>
              <w:rPr>
                <w:b/>
                <w:spacing w:val="10"/>
              </w:rPr>
            </w:pPr>
          </w:p>
          <w:p>
            <w:pPr>
              <w:ind w:firstLine="0" w:firstLineChars="0"/>
              <w:jc w:val="center"/>
              <w:rPr>
                <w:b/>
                <w:spacing w:val="10"/>
              </w:rPr>
            </w:pPr>
          </w:p>
          <w:p>
            <w:pPr>
              <w:ind w:firstLine="0" w:firstLineChars="0"/>
              <w:jc w:val="center"/>
              <w:rPr>
                <w:b/>
                <w:spacing w:val="10"/>
              </w:rPr>
            </w:pPr>
          </w:p>
          <w:p>
            <w:pPr>
              <w:ind w:firstLine="0" w:firstLineChars="0"/>
              <w:jc w:val="center"/>
              <w:rPr>
                <w:b/>
                <w:spacing w:val="10"/>
              </w:rPr>
            </w:pPr>
          </w:p>
          <w:p>
            <w:pPr>
              <w:ind w:firstLine="0" w:firstLineChars="0"/>
              <w:jc w:val="center"/>
              <w:rPr>
                <w:b/>
                <w:spacing w:val="10"/>
              </w:rPr>
            </w:pPr>
          </w:p>
          <w:p>
            <w:pPr>
              <w:ind w:firstLine="0" w:firstLineChars="0"/>
              <w:jc w:val="center"/>
              <w:rPr>
                <w:b/>
                <w:spacing w:val="10"/>
              </w:rPr>
            </w:pPr>
          </w:p>
          <w:p>
            <w:pPr>
              <w:ind w:firstLine="0" w:firstLineChars="0"/>
              <w:jc w:val="center"/>
              <w:rPr>
                <w:b/>
                <w:spacing w:val="-6"/>
              </w:rPr>
            </w:pPr>
            <w:r>
              <w:rPr>
                <w:rFonts w:hint="eastAsia"/>
                <w:b/>
                <w:spacing w:val="-6"/>
              </w:rPr>
              <w:t>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55" w:hRule="atLeast"/>
        </w:trPr>
        <w:tc>
          <w:tcPr>
            <w:tcW w:w="641" w:type="dxa"/>
            <w:vMerge w:val="continue"/>
            <w:vAlign w:val="center"/>
          </w:tcPr>
          <w:p>
            <w:pPr>
              <w:ind w:firstLine="0" w:firstLineChars="0"/>
              <w:jc w:val="center"/>
              <w:rPr>
                <w:b/>
              </w:rPr>
            </w:pPr>
          </w:p>
        </w:tc>
        <w:tc>
          <w:tcPr>
            <w:tcW w:w="2056" w:type="dxa"/>
            <w:vAlign w:val="center"/>
          </w:tcPr>
          <w:p>
            <w:pPr>
              <w:ind w:firstLine="0" w:firstLineChars="0"/>
              <w:jc w:val="center"/>
              <w:rPr>
                <w:b/>
                <w:sz w:val="24"/>
              </w:rPr>
            </w:pPr>
            <w:r>
              <w:rPr>
                <w:rFonts w:hint="eastAsia"/>
                <w:b/>
                <w:sz w:val="24"/>
              </w:rPr>
              <w:t>法定代表人</w:t>
            </w:r>
          </w:p>
        </w:tc>
        <w:tc>
          <w:tcPr>
            <w:tcW w:w="4184" w:type="dxa"/>
            <w:gridSpan w:val="5"/>
            <w:vAlign w:val="center"/>
          </w:tcPr>
          <w:p>
            <w:pPr>
              <w:ind w:firstLine="0" w:firstLineChars="0"/>
              <w:jc w:val="center"/>
              <w:rPr>
                <w:sz w:val="24"/>
              </w:rPr>
            </w:pPr>
            <w:r>
              <w:rPr>
                <w:rFonts w:hint="eastAsia"/>
                <w:sz w:val="24"/>
              </w:rPr>
              <w:t>（签章）</w:t>
            </w:r>
          </w:p>
        </w:tc>
        <w:tc>
          <w:tcPr>
            <w:tcW w:w="1641" w:type="dxa"/>
            <w:vMerge w:val="continue"/>
            <w:vAlign w:val="center"/>
          </w:tcPr>
          <w:p>
            <w:pPr>
              <w:ind w:firstLine="0" w:firstLineChars="0"/>
              <w:jc w:val="center"/>
              <w:rPr>
                <w:b/>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55" w:hRule="atLeast"/>
        </w:trPr>
        <w:tc>
          <w:tcPr>
            <w:tcW w:w="641" w:type="dxa"/>
            <w:vMerge w:val="continue"/>
            <w:vAlign w:val="center"/>
          </w:tcPr>
          <w:p>
            <w:pPr>
              <w:ind w:firstLine="0" w:firstLineChars="0"/>
              <w:jc w:val="center"/>
              <w:rPr>
                <w:b/>
              </w:rPr>
            </w:pPr>
          </w:p>
        </w:tc>
        <w:tc>
          <w:tcPr>
            <w:tcW w:w="2056" w:type="dxa"/>
            <w:vAlign w:val="center"/>
          </w:tcPr>
          <w:p>
            <w:pPr>
              <w:ind w:firstLine="0" w:firstLineChars="0"/>
              <w:jc w:val="center"/>
              <w:rPr>
                <w:b/>
                <w:sz w:val="24"/>
              </w:rPr>
            </w:pPr>
            <w:r>
              <w:rPr>
                <w:rFonts w:hint="eastAsia"/>
                <w:b/>
                <w:sz w:val="24"/>
              </w:rPr>
              <w:t>委托代理人</w:t>
            </w:r>
          </w:p>
        </w:tc>
        <w:tc>
          <w:tcPr>
            <w:tcW w:w="4184" w:type="dxa"/>
            <w:gridSpan w:val="5"/>
            <w:vAlign w:val="center"/>
          </w:tcPr>
          <w:p>
            <w:pPr>
              <w:ind w:firstLine="0" w:firstLineChars="0"/>
              <w:jc w:val="center"/>
              <w:rPr>
                <w:sz w:val="24"/>
              </w:rPr>
            </w:pPr>
          </w:p>
        </w:tc>
        <w:tc>
          <w:tcPr>
            <w:tcW w:w="1641" w:type="dxa"/>
            <w:vMerge w:val="continue"/>
            <w:vAlign w:val="center"/>
          </w:tcPr>
          <w:p>
            <w:pPr>
              <w:ind w:firstLine="0" w:firstLineChars="0"/>
              <w:jc w:val="center"/>
              <w:rPr>
                <w:b/>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26" w:hRule="atLeast"/>
        </w:trPr>
        <w:tc>
          <w:tcPr>
            <w:tcW w:w="641" w:type="dxa"/>
            <w:vMerge w:val="continue"/>
            <w:vAlign w:val="center"/>
          </w:tcPr>
          <w:p>
            <w:pPr>
              <w:ind w:firstLine="0" w:firstLineChars="0"/>
              <w:jc w:val="center"/>
              <w:rPr>
                <w:b/>
              </w:rPr>
            </w:pPr>
          </w:p>
        </w:tc>
        <w:tc>
          <w:tcPr>
            <w:tcW w:w="2056" w:type="dxa"/>
            <w:vAlign w:val="center"/>
          </w:tcPr>
          <w:p>
            <w:pPr>
              <w:ind w:firstLine="0" w:firstLineChars="0"/>
              <w:jc w:val="center"/>
              <w:rPr>
                <w:b/>
                <w:sz w:val="24"/>
              </w:rPr>
            </w:pPr>
            <w:r>
              <w:rPr>
                <w:rFonts w:hint="eastAsia"/>
                <w:b/>
                <w:sz w:val="24"/>
              </w:rPr>
              <w:t>联系（经办）人</w:t>
            </w:r>
          </w:p>
        </w:tc>
        <w:tc>
          <w:tcPr>
            <w:tcW w:w="4184" w:type="dxa"/>
            <w:gridSpan w:val="5"/>
            <w:vAlign w:val="center"/>
          </w:tcPr>
          <w:p>
            <w:pPr>
              <w:ind w:firstLine="0" w:firstLineChars="0"/>
              <w:jc w:val="center"/>
              <w:rPr>
                <w:sz w:val="24"/>
              </w:rPr>
            </w:pPr>
          </w:p>
        </w:tc>
        <w:tc>
          <w:tcPr>
            <w:tcW w:w="1641" w:type="dxa"/>
            <w:vMerge w:val="continue"/>
            <w:vAlign w:val="center"/>
          </w:tcPr>
          <w:p>
            <w:pPr>
              <w:ind w:firstLine="0" w:firstLineChars="0"/>
              <w:jc w:val="center"/>
              <w:rPr>
                <w:b/>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55" w:hRule="atLeast"/>
        </w:trPr>
        <w:tc>
          <w:tcPr>
            <w:tcW w:w="641" w:type="dxa"/>
            <w:vMerge w:val="continue"/>
            <w:vAlign w:val="center"/>
          </w:tcPr>
          <w:p>
            <w:pPr>
              <w:ind w:firstLine="0" w:firstLineChars="0"/>
              <w:jc w:val="center"/>
              <w:rPr>
                <w:b/>
              </w:rPr>
            </w:pPr>
          </w:p>
        </w:tc>
        <w:tc>
          <w:tcPr>
            <w:tcW w:w="2056" w:type="dxa"/>
            <w:vAlign w:val="center"/>
          </w:tcPr>
          <w:p>
            <w:pPr>
              <w:ind w:firstLine="0" w:firstLineChars="0"/>
              <w:jc w:val="center"/>
              <w:rPr>
                <w:b/>
                <w:spacing w:val="34"/>
                <w:sz w:val="24"/>
              </w:rPr>
            </w:pPr>
            <w:r>
              <w:rPr>
                <w:rFonts w:hint="eastAsia"/>
                <w:b/>
                <w:spacing w:val="34"/>
                <w:sz w:val="24"/>
              </w:rPr>
              <w:t>住所</w:t>
            </w:r>
          </w:p>
          <w:p>
            <w:pPr>
              <w:ind w:firstLine="0" w:firstLineChars="0"/>
              <w:jc w:val="center"/>
              <w:rPr>
                <w:b/>
                <w:spacing w:val="16"/>
                <w:sz w:val="24"/>
              </w:rPr>
            </w:pPr>
            <w:r>
              <w:rPr>
                <w:rFonts w:hint="eastAsia"/>
                <w:b/>
                <w:spacing w:val="16"/>
                <w:sz w:val="24"/>
              </w:rPr>
              <w:t>（通讯地址）</w:t>
            </w:r>
          </w:p>
        </w:tc>
        <w:tc>
          <w:tcPr>
            <w:tcW w:w="2011" w:type="dxa"/>
            <w:vAlign w:val="center"/>
          </w:tcPr>
          <w:p>
            <w:pPr>
              <w:ind w:firstLine="0" w:firstLineChars="0"/>
              <w:jc w:val="center"/>
              <w:rPr>
                <w:sz w:val="24"/>
              </w:rPr>
            </w:pPr>
          </w:p>
        </w:tc>
        <w:tc>
          <w:tcPr>
            <w:tcW w:w="862" w:type="dxa"/>
            <w:gridSpan w:val="2"/>
            <w:vAlign w:val="center"/>
          </w:tcPr>
          <w:p>
            <w:pPr>
              <w:ind w:firstLine="0" w:firstLineChars="0"/>
              <w:jc w:val="center"/>
              <w:rPr>
                <w:sz w:val="24"/>
              </w:rPr>
            </w:pPr>
            <w:r>
              <w:rPr>
                <w:rFonts w:hint="eastAsia"/>
                <w:sz w:val="24"/>
              </w:rPr>
              <w:t>邮政编码</w:t>
            </w:r>
          </w:p>
        </w:tc>
        <w:tc>
          <w:tcPr>
            <w:tcW w:w="1311" w:type="dxa"/>
            <w:gridSpan w:val="2"/>
            <w:vAlign w:val="center"/>
          </w:tcPr>
          <w:p>
            <w:pPr>
              <w:ind w:firstLine="0" w:firstLineChars="0"/>
              <w:jc w:val="center"/>
              <w:rPr>
                <w:sz w:val="24"/>
              </w:rPr>
            </w:pPr>
          </w:p>
        </w:tc>
        <w:tc>
          <w:tcPr>
            <w:tcW w:w="1641" w:type="dxa"/>
            <w:vMerge w:val="continue"/>
            <w:vAlign w:val="center"/>
          </w:tcPr>
          <w:p>
            <w:pPr>
              <w:ind w:firstLine="0" w:firstLineChars="0"/>
              <w:jc w:val="center"/>
              <w:rPr>
                <w:b/>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641" w:type="dxa"/>
            <w:vMerge w:val="continue"/>
            <w:vAlign w:val="center"/>
          </w:tcPr>
          <w:p>
            <w:pPr>
              <w:ind w:firstLine="0" w:firstLineChars="0"/>
              <w:jc w:val="center"/>
              <w:rPr>
                <w:b/>
              </w:rPr>
            </w:pPr>
          </w:p>
        </w:tc>
        <w:tc>
          <w:tcPr>
            <w:tcW w:w="2056" w:type="dxa"/>
            <w:vAlign w:val="center"/>
          </w:tcPr>
          <w:p>
            <w:pPr>
              <w:ind w:firstLine="0" w:firstLineChars="0"/>
              <w:jc w:val="center"/>
              <w:rPr>
                <w:b/>
                <w:spacing w:val="28"/>
              </w:rPr>
            </w:pPr>
            <w:r>
              <w:rPr>
                <w:rFonts w:hint="eastAsia"/>
                <w:b/>
                <w:sz w:val="24"/>
              </w:rPr>
              <w:t>电话</w:t>
            </w:r>
          </w:p>
        </w:tc>
        <w:tc>
          <w:tcPr>
            <w:tcW w:w="2011" w:type="dxa"/>
            <w:vAlign w:val="center"/>
          </w:tcPr>
          <w:p>
            <w:pPr>
              <w:ind w:firstLine="0" w:firstLineChars="0"/>
              <w:jc w:val="center"/>
              <w:rPr>
                <w:sz w:val="24"/>
              </w:rPr>
            </w:pPr>
          </w:p>
        </w:tc>
        <w:tc>
          <w:tcPr>
            <w:tcW w:w="862" w:type="dxa"/>
            <w:gridSpan w:val="2"/>
            <w:vAlign w:val="center"/>
          </w:tcPr>
          <w:p>
            <w:pPr>
              <w:ind w:firstLine="0" w:firstLineChars="0"/>
              <w:jc w:val="center"/>
              <w:rPr>
                <w:sz w:val="24"/>
              </w:rPr>
            </w:pPr>
            <w:r>
              <w:rPr>
                <w:rFonts w:hint="eastAsia"/>
                <w:sz w:val="24"/>
              </w:rPr>
              <w:t>传真</w:t>
            </w:r>
          </w:p>
        </w:tc>
        <w:tc>
          <w:tcPr>
            <w:tcW w:w="1311" w:type="dxa"/>
            <w:gridSpan w:val="2"/>
            <w:vAlign w:val="center"/>
          </w:tcPr>
          <w:p>
            <w:pPr>
              <w:ind w:firstLine="0" w:firstLineChars="0"/>
              <w:jc w:val="center"/>
              <w:rPr>
                <w:sz w:val="24"/>
              </w:rPr>
            </w:pPr>
          </w:p>
        </w:tc>
        <w:tc>
          <w:tcPr>
            <w:tcW w:w="1641" w:type="dxa"/>
            <w:vMerge w:val="continue"/>
            <w:vAlign w:val="center"/>
          </w:tcPr>
          <w:p>
            <w:pPr>
              <w:ind w:firstLine="0" w:firstLineChars="0"/>
              <w:jc w:val="center"/>
              <w:rPr>
                <w:b/>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84" w:hRule="atLeast"/>
        </w:trPr>
        <w:tc>
          <w:tcPr>
            <w:tcW w:w="641" w:type="dxa"/>
            <w:vMerge w:val="continue"/>
            <w:vAlign w:val="center"/>
          </w:tcPr>
          <w:p>
            <w:pPr>
              <w:ind w:firstLine="0" w:firstLineChars="0"/>
              <w:jc w:val="center"/>
              <w:rPr>
                <w:b/>
              </w:rPr>
            </w:pPr>
          </w:p>
        </w:tc>
        <w:tc>
          <w:tcPr>
            <w:tcW w:w="2056" w:type="dxa"/>
            <w:vAlign w:val="center"/>
          </w:tcPr>
          <w:p>
            <w:pPr>
              <w:ind w:firstLine="0" w:firstLineChars="0"/>
              <w:jc w:val="center"/>
              <w:rPr>
                <w:b/>
                <w:sz w:val="24"/>
              </w:rPr>
            </w:pPr>
            <w:r>
              <w:rPr>
                <w:rFonts w:hint="eastAsia"/>
                <w:b/>
                <w:sz w:val="24"/>
              </w:rPr>
              <w:t>开户银行</w:t>
            </w:r>
          </w:p>
        </w:tc>
        <w:tc>
          <w:tcPr>
            <w:tcW w:w="4184" w:type="dxa"/>
            <w:gridSpan w:val="5"/>
            <w:vAlign w:val="center"/>
          </w:tcPr>
          <w:p>
            <w:pPr>
              <w:ind w:firstLine="0" w:firstLineChars="0"/>
              <w:jc w:val="center"/>
            </w:pPr>
          </w:p>
        </w:tc>
        <w:tc>
          <w:tcPr>
            <w:tcW w:w="1641" w:type="dxa"/>
            <w:vMerge w:val="continue"/>
            <w:vAlign w:val="center"/>
          </w:tcPr>
          <w:p>
            <w:pPr>
              <w:ind w:firstLine="0" w:firstLineChars="0"/>
              <w:jc w:val="center"/>
              <w:rPr>
                <w:b/>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641" w:type="dxa"/>
            <w:vMerge w:val="continue"/>
            <w:vAlign w:val="center"/>
          </w:tcPr>
          <w:p>
            <w:pPr>
              <w:ind w:firstLine="0" w:firstLineChars="0"/>
              <w:jc w:val="center"/>
              <w:rPr>
                <w:b/>
              </w:rPr>
            </w:pPr>
          </w:p>
        </w:tc>
        <w:tc>
          <w:tcPr>
            <w:tcW w:w="2056" w:type="dxa"/>
            <w:vAlign w:val="center"/>
          </w:tcPr>
          <w:p>
            <w:pPr>
              <w:ind w:firstLine="0" w:firstLineChars="0"/>
              <w:jc w:val="center"/>
              <w:rPr>
                <w:b/>
                <w:spacing w:val="38"/>
                <w:sz w:val="24"/>
              </w:rPr>
            </w:pPr>
            <w:r>
              <w:rPr>
                <w:rFonts w:hint="eastAsia"/>
                <w:b/>
                <w:spacing w:val="38"/>
                <w:sz w:val="24"/>
              </w:rPr>
              <w:t>帐号</w:t>
            </w:r>
          </w:p>
        </w:tc>
        <w:tc>
          <w:tcPr>
            <w:tcW w:w="4184" w:type="dxa"/>
            <w:gridSpan w:val="5"/>
            <w:vAlign w:val="center"/>
          </w:tcPr>
          <w:p>
            <w:pPr>
              <w:ind w:firstLine="0" w:firstLineChars="0"/>
              <w:jc w:val="center"/>
            </w:pPr>
          </w:p>
        </w:tc>
        <w:tc>
          <w:tcPr>
            <w:tcW w:w="1641" w:type="dxa"/>
            <w:vMerge w:val="continue"/>
            <w:vAlign w:val="center"/>
          </w:tcPr>
          <w:p>
            <w:pPr>
              <w:ind w:firstLine="0" w:firstLineChars="0"/>
              <w:jc w:val="center"/>
              <w:rPr>
                <w:b/>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641" w:type="dxa"/>
            <w:vMerge w:val="restart"/>
            <w:textDirection w:val="tbRlV"/>
            <w:vAlign w:val="center"/>
          </w:tcPr>
          <w:p>
            <w:pPr>
              <w:ind w:left="113" w:right="113" w:firstLine="0" w:firstLineChars="0"/>
              <w:jc w:val="center"/>
              <w:rPr>
                <w:b/>
                <w:spacing w:val="42"/>
                <w:sz w:val="24"/>
              </w:rPr>
            </w:pPr>
            <w:r>
              <w:rPr>
                <w:rFonts w:hint="eastAsia"/>
                <w:b/>
                <w:spacing w:val="42"/>
                <w:sz w:val="24"/>
              </w:rPr>
              <w:t>乙方</w:t>
            </w:r>
          </w:p>
        </w:tc>
        <w:tc>
          <w:tcPr>
            <w:tcW w:w="2056" w:type="dxa"/>
            <w:vAlign w:val="center"/>
          </w:tcPr>
          <w:p>
            <w:pPr>
              <w:ind w:firstLine="0" w:firstLineChars="0"/>
              <w:jc w:val="center"/>
              <w:rPr>
                <w:b/>
                <w:sz w:val="24"/>
              </w:rPr>
            </w:pPr>
            <w:r>
              <w:rPr>
                <w:rFonts w:hint="eastAsia"/>
                <w:b/>
                <w:sz w:val="24"/>
              </w:rPr>
              <w:t>名称（或姓名）</w:t>
            </w:r>
          </w:p>
        </w:tc>
        <w:tc>
          <w:tcPr>
            <w:tcW w:w="4184" w:type="dxa"/>
            <w:gridSpan w:val="5"/>
            <w:vAlign w:val="center"/>
          </w:tcPr>
          <w:p>
            <w:pPr>
              <w:ind w:firstLine="0" w:firstLineChars="0"/>
              <w:jc w:val="center"/>
              <w:rPr>
                <w:sz w:val="24"/>
              </w:rPr>
            </w:pPr>
          </w:p>
        </w:tc>
        <w:tc>
          <w:tcPr>
            <w:tcW w:w="1641" w:type="dxa"/>
            <w:vMerge w:val="restart"/>
            <w:vAlign w:val="center"/>
          </w:tcPr>
          <w:p>
            <w:pPr>
              <w:ind w:firstLine="0" w:firstLineChars="0"/>
              <w:jc w:val="center"/>
              <w:rPr>
                <w:b/>
                <w:spacing w:val="-8"/>
              </w:rPr>
            </w:pPr>
            <w:r>
              <w:rPr>
                <w:rFonts w:hint="eastAsia"/>
                <w:b/>
                <w:spacing w:val="-8"/>
              </w:rPr>
              <w:t>技术合同专用章</w:t>
            </w:r>
          </w:p>
          <w:p>
            <w:pPr>
              <w:ind w:firstLine="0" w:firstLineChars="0"/>
              <w:jc w:val="center"/>
              <w:rPr>
                <w:b/>
              </w:rPr>
            </w:pPr>
            <w:r>
              <w:rPr>
                <w:rFonts w:hint="eastAsia"/>
                <w:b/>
              </w:rPr>
              <w:t>或</w:t>
            </w:r>
          </w:p>
          <w:p>
            <w:pPr>
              <w:ind w:firstLine="0" w:firstLineChars="0"/>
              <w:jc w:val="center"/>
              <w:rPr>
                <w:b/>
                <w:spacing w:val="10"/>
              </w:rPr>
            </w:pPr>
            <w:r>
              <w:rPr>
                <w:rFonts w:hint="eastAsia"/>
                <w:b/>
                <w:spacing w:val="10"/>
              </w:rPr>
              <w:t>单位公章</w:t>
            </w: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p>
          <w:p>
            <w:pPr>
              <w:ind w:firstLine="0" w:firstLineChars="0"/>
              <w:jc w:val="center"/>
              <w:rPr>
                <w:b/>
              </w:rPr>
            </w:pPr>
            <w:r>
              <w:rPr>
                <w:rFonts w:hint="eastAsia"/>
                <w:b/>
                <w:spacing w:val="-6"/>
              </w:rPr>
              <w:t>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4" w:hRule="atLeast"/>
        </w:trPr>
        <w:tc>
          <w:tcPr>
            <w:tcW w:w="641" w:type="dxa"/>
            <w:vMerge w:val="continue"/>
            <w:vAlign w:val="center"/>
          </w:tcPr>
          <w:p>
            <w:pPr>
              <w:ind w:firstLine="0" w:firstLineChars="0"/>
              <w:jc w:val="center"/>
              <w:rPr>
                <w:b/>
              </w:rPr>
            </w:pPr>
          </w:p>
        </w:tc>
        <w:tc>
          <w:tcPr>
            <w:tcW w:w="2056" w:type="dxa"/>
            <w:vAlign w:val="center"/>
          </w:tcPr>
          <w:p>
            <w:pPr>
              <w:ind w:firstLine="0" w:firstLineChars="0"/>
              <w:jc w:val="center"/>
              <w:rPr>
                <w:b/>
                <w:sz w:val="24"/>
              </w:rPr>
            </w:pPr>
            <w:r>
              <w:rPr>
                <w:rFonts w:hint="eastAsia"/>
                <w:b/>
                <w:sz w:val="24"/>
              </w:rPr>
              <w:t>法定代表人</w:t>
            </w:r>
          </w:p>
        </w:tc>
        <w:tc>
          <w:tcPr>
            <w:tcW w:w="4184" w:type="dxa"/>
            <w:gridSpan w:val="5"/>
            <w:vAlign w:val="center"/>
          </w:tcPr>
          <w:p>
            <w:pPr>
              <w:ind w:firstLine="0" w:firstLineChars="0"/>
              <w:jc w:val="center"/>
              <w:rPr>
                <w:sz w:val="24"/>
              </w:rPr>
            </w:pPr>
          </w:p>
        </w:tc>
        <w:tc>
          <w:tcPr>
            <w:tcW w:w="1641" w:type="dxa"/>
            <w:vMerge w:val="continue"/>
            <w:vAlign w:val="center"/>
          </w:tcPr>
          <w:p>
            <w:pPr>
              <w:ind w:firstLine="0" w:firstLineChars="0"/>
              <w:jc w:val="center"/>
              <w:rPr>
                <w:b/>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93" w:hRule="atLeast"/>
        </w:trPr>
        <w:tc>
          <w:tcPr>
            <w:tcW w:w="641" w:type="dxa"/>
            <w:vMerge w:val="continue"/>
            <w:vAlign w:val="center"/>
          </w:tcPr>
          <w:p>
            <w:pPr>
              <w:ind w:firstLine="0" w:firstLineChars="0"/>
              <w:jc w:val="center"/>
              <w:rPr>
                <w:b/>
              </w:rPr>
            </w:pPr>
          </w:p>
        </w:tc>
        <w:tc>
          <w:tcPr>
            <w:tcW w:w="2056" w:type="dxa"/>
            <w:vAlign w:val="center"/>
          </w:tcPr>
          <w:p>
            <w:pPr>
              <w:ind w:firstLine="0" w:firstLineChars="0"/>
              <w:jc w:val="center"/>
              <w:rPr>
                <w:b/>
                <w:sz w:val="24"/>
              </w:rPr>
            </w:pPr>
            <w:r>
              <w:rPr>
                <w:rFonts w:hint="eastAsia"/>
                <w:b/>
                <w:sz w:val="24"/>
              </w:rPr>
              <w:t>委托代理人</w:t>
            </w:r>
          </w:p>
        </w:tc>
        <w:tc>
          <w:tcPr>
            <w:tcW w:w="4184" w:type="dxa"/>
            <w:gridSpan w:val="5"/>
            <w:vAlign w:val="center"/>
          </w:tcPr>
          <w:p>
            <w:pPr>
              <w:ind w:firstLine="0" w:firstLineChars="0"/>
              <w:jc w:val="center"/>
              <w:rPr>
                <w:sz w:val="24"/>
              </w:rPr>
            </w:pPr>
          </w:p>
        </w:tc>
        <w:tc>
          <w:tcPr>
            <w:tcW w:w="1641" w:type="dxa"/>
            <w:vMerge w:val="continue"/>
            <w:vAlign w:val="center"/>
          </w:tcPr>
          <w:p>
            <w:pPr>
              <w:ind w:firstLine="0" w:firstLineChars="0"/>
              <w:jc w:val="center"/>
              <w:rPr>
                <w:b/>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3" w:hRule="atLeast"/>
        </w:trPr>
        <w:tc>
          <w:tcPr>
            <w:tcW w:w="641" w:type="dxa"/>
            <w:vMerge w:val="continue"/>
            <w:vAlign w:val="center"/>
          </w:tcPr>
          <w:p>
            <w:pPr>
              <w:ind w:firstLine="0" w:firstLineChars="0"/>
              <w:jc w:val="center"/>
              <w:rPr>
                <w:b/>
              </w:rPr>
            </w:pPr>
          </w:p>
        </w:tc>
        <w:tc>
          <w:tcPr>
            <w:tcW w:w="2056" w:type="dxa"/>
            <w:vAlign w:val="center"/>
          </w:tcPr>
          <w:p>
            <w:pPr>
              <w:ind w:firstLine="0" w:firstLineChars="0"/>
              <w:jc w:val="center"/>
              <w:rPr>
                <w:b/>
                <w:sz w:val="24"/>
              </w:rPr>
            </w:pPr>
            <w:r>
              <w:rPr>
                <w:rFonts w:hint="eastAsia"/>
                <w:b/>
                <w:sz w:val="24"/>
              </w:rPr>
              <w:t>联系（经办）人</w:t>
            </w:r>
          </w:p>
        </w:tc>
        <w:tc>
          <w:tcPr>
            <w:tcW w:w="4184" w:type="dxa"/>
            <w:gridSpan w:val="5"/>
            <w:vAlign w:val="center"/>
          </w:tcPr>
          <w:p>
            <w:pPr>
              <w:ind w:firstLine="0" w:firstLineChars="0"/>
              <w:jc w:val="center"/>
              <w:rPr>
                <w:sz w:val="24"/>
              </w:rPr>
            </w:pPr>
          </w:p>
        </w:tc>
        <w:tc>
          <w:tcPr>
            <w:tcW w:w="1641" w:type="dxa"/>
            <w:vMerge w:val="continue"/>
            <w:vAlign w:val="center"/>
          </w:tcPr>
          <w:p>
            <w:pPr>
              <w:ind w:firstLine="0" w:firstLineChars="0"/>
              <w:jc w:val="center"/>
              <w:rPr>
                <w:b/>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26" w:hRule="atLeast"/>
        </w:trPr>
        <w:tc>
          <w:tcPr>
            <w:tcW w:w="641" w:type="dxa"/>
            <w:vMerge w:val="continue"/>
            <w:vAlign w:val="center"/>
          </w:tcPr>
          <w:p>
            <w:pPr>
              <w:ind w:firstLine="0" w:firstLineChars="0"/>
              <w:jc w:val="center"/>
              <w:rPr>
                <w:b/>
              </w:rPr>
            </w:pPr>
          </w:p>
        </w:tc>
        <w:tc>
          <w:tcPr>
            <w:tcW w:w="2056" w:type="dxa"/>
            <w:vAlign w:val="center"/>
          </w:tcPr>
          <w:p>
            <w:pPr>
              <w:ind w:firstLine="0" w:firstLineChars="0"/>
              <w:jc w:val="center"/>
              <w:rPr>
                <w:b/>
                <w:spacing w:val="34"/>
                <w:sz w:val="24"/>
              </w:rPr>
            </w:pPr>
            <w:r>
              <w:rPr>
                <w:rFonts w:hint="eastAsia"/>
                <w:b/>
                <w:spacing w:val="34"/>
                <w:sz w:val="24"/>
              </w:rPr>
              <w:t>住所</w:t>
            </w:r>
          </w:p>
          <w:p>
            <w:pPr>
              <w:ind w:firstLine="0" w:firstLineChars="0"/>
              <w:jc w:val="center"/>
              <w:rPr>
                <w:b/>
              </w:rPr>
            </w:pPr>
            <w:r>
              <w:rPr>
                <w:rFonts w:hint="eastAsia"/>
                <w:b/>
                <w:spacing w:val="16"/>
                <w:sz w:val="24"/>
              </w:rPr>
              <w:t>（通讯地址）</w:t>
            </w:r>
          </w:p>
        </w:tc>
        <w:tc>
          <w:tcPr>
            <w:tcW w:w="2309" w:type="dxa"/>
            <w:gridSpan w:val="2"/>
            <w:vAlign w:val="center"/>
          </w:tcPr>
          <w:p>
            <w:pPr>
              <w:ind w:firstLine="0" w:firstLineChars="0"/>
              <w:jc w:val="center"/>
              <w:rPr>
                <w:w w:val="80"/>
                <w:sz w:val="24"/>
              </w:rPr>
            </w:pPr>
          </w:p>
        </w:tc>
        <w:tc>
          <w:tcPr>
            <w:tcW w:w="745" w:type="dxa"/>
            <w:gridSpan w:val="2"/>
            <w:vAlign w:val="center"/>
          </w:tcPr>
          <w:p>
            <w:pPr>
              <w:ind w:firstLine="0" w:firstLineChars="0"/>
              <w:jc w:val="center"/>
              <w:rPr>
                <w:sz w:val="24"/>
              </w:rPr>
            </w:pPr>
            <w:r>
              <w:rPr>
                <w:rFonts w:hint="eastAsia"/>
                <w:sz w:val="24"/>
              </w:rPr>
              <w:t>邮政编码</w:t>
            </w:r>
          </w:p>
        </w:tc>
        <w:tc>
          <w:tcPr>
            <w:tcW w:w="1130" w:type="dxa"/>
            <w:vAlign w:val="center"/>
          </w:tcPr>
          <w:p>
            <w:pPr>
              <w:ind w:firstLine="0" w:firstLineChars="0"/>
              <w:jc w:val="center"/>
              <w:rPr>
                <w:sz w:val="24"/>
              </w:rPr>
            </w:pPr>
          </w:p>
        </w:tc>
        <w:tc>
          <w:tcPr>
            <w:tcW w:w="1641" w:type="dxa"/>
            <w:vMerge w:val="continue"/>
            <w:vAlign w:val="center"/>
          </w:tcPr>
          <w:p>
            <w:pPr>
              <w:ind w:firstLine="0" w:firstLineChars="0"/>
              <w:jc w:val="center"/>
              <w:rPr>
                <w:b/>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98" w:hRule="atLeast"/>
        </w:trPr>
        <w:tc>
          <w:tcPr>
            <w:tcW w:w="641" w:type="dxa"/>
            <w:vMerge w:val="continue"/>
            <w:vAlign w:val="center"/>
          </w:tcPr>
          <w:p>
            <w:pPr>
              <w:ind w:firstLine="0" w:firstLineChars="0"/>
              <w:jc w:val="center"/>
              <w:rPr>
                <w:b/>
              </w:rPr>
            </w:pPr>
          </w:p>
        </w:tc>
        <w:tc>
          <w:tcPr>
            <w:tcW w:w="2056" w:type="dxa"/>
            <w:vAlign w:val="center"/>
          </w:tcPr>
          <w:p>
            <w:pPr>
              <w:ind w:firstLine="0" w:firstLineChars="0"/>
              <w:jc w:val="center"/>
              <w:rPr>
                <w:b/>
                <w:spacing w:val="42"/>
                <w:sz w:val="24"/>
              </w:rPr>
            </w:pPr>
            <w:r>
              <w:rPr>
                <w:rFonts w:hint="eastAsia"/>
                <w:b/>
                <w:spacing w:val="42"/>
                <w:sz w:val="24"/>
              </w:rPr>
              <w:t>电话</w:t>
            </w:r>
          </w:p>
        </w:tc>
        <w:tc>
          <w:tcPr>
            <w:tcW w:w="2309" w:type="dxa"/>
            <w:gridSpan w:val="2"/>
            <w:vAlign w:val="center"/>
          </w:tcPr>
          <w:p>
            <w:pPr>
              <w:ind w:firstLine="0" w:firstLineChars="0"/>
              <w:jc w:val="center"/>
              <w:rPr>
                <w:sz w:val="24"/>
              </w:rPr>
            </w:pPr>
          </w:p>
        </w:tc>
        <w:tc>
          <w:tcPr>
            <w:tcW w:w="745" w:type="dxa"/>
            <w:gridSpan w:val="2"/>
            <w:vAlign w:val="center"/>
          </w:tcPr>
          <w:p>
            <w:pPr>
              <w:ind w:firstLine="0" w:firstLineChars="0"/>
              <w:jc w:val="center"/>
              <w:rPr>
                <w:sz w:val="24"/>
              </w:rPr>
            </w:pPr>
            <w:r>
              <w:rPr>
                <w:rFonts w:hint="eastAsia"/>
                <w:sz w:val="24"/>
              </w:rPr>
              <w:t>传真</w:t>
            </w:r>
          </w:p>
        </w:tc>
        <w:tc>
          <w:tcPr>
            <w:tcW w:w="1130" w:type="dxa"/>
            <w:vAlign w:val="center"/>
          </w:tcPr>
          <w:p>
            <w:pPr>
              <w:ind w:firstLine="0" w:firstLineChars="0"/>
              <w:jc w:val="center"/>
              <w:rPr>
                <w:sz w:val="24"/>
              </w:rPr>
            </w:pPr>
          </w:p>
        </w:tc>
        <w:tc>
          <w:tcPr>
            <w:tcW w:w="1641" w:type="dxa"/>
            <w:vMerge w:val="continue"/>
            <w:vAlign w:val="center"/>
          </w:tcPr>
          <w:p>
            <w:pPr>
              <w:ind w:firstLine="0" w:firstLineChars="0"/>
              <w:jc w:val="center"/>
              <w:rPr>
                <w:b/>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26" w:hRule="atLeast"/>
        </w:trPr>
        <w:tc>
          <w:tcPr>
            <w:tcW w:w="641" w:type="dxa"/>
            <w:vMerge w:val="continue"/>
            <w:vAlign w:val="center"/>
          </w:tcPr>
          <w:p>
            <w:pPr>
              <w:ind w:firstLine="0" w:firstLineChars="0"/>
              <w:jc w:val="center"/>
              <w:rPr>
                <w:b/>
              </w:rPr>
            </w:pPr>
          </w:p>
        </w:tc>
        <w:tc>
          <w:tcPr>
            <w:tcW w:w="2056" w:type="dxa"/>
            <w:vAlign w:val="center"/>
          </w:tcPr>
          <w:p>
            <w:pPr>
              <w:ind w:firstLine="0" w:firstLineChars="0"/>
              <w:jc w:val="center"/>
              <w:rPr>
                <w:b/>
              </w:rPr>
            </w:pPr>
            <w:r>
              <w:rPr>
                <w:rFonts w:hint="eastAsia"/>
                <w:b/>
                <w:sz w:val="24"/>
              </w:rPr>
              <w:t>开户银行</w:t>
            </w:r>
          </w:p>
        </w:tc>
        <w:tc>
          <w:tcPr>
            <w:tcW w:w="4184" w:type="dxa"/>
            <w:gridSpan w:val="5"/>
            <w:vAlign w:val="center"/>
          </w:tcPr>
          <w:p>
            <w:pPr>
              <w:ind w:firstLine="0" w:firstLineChars="0"/>
              <w:jc w:val="center"/>
              <w:rPr>
                <w:sz w:val="24"/>
              </w:rPr>
            </w:pPr>
          </w:p>
        </w:tc>
        <w:tc>
          <w:tcPr>
            <w:tcW w:w="1641" w:type="dxa"/>
            <w:vMerge w:val="continue"/>
            <w:vAlign w:val="center"/>
          </w:tcPr>
          <w:p>
            <w:pPr>
              <w:ind w:firstLine="0" w:firstLineChars="0"/>
              <w:jc w:val="center"/>
              <w:rPr>
                <w:b/>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76" w:hRule="atLeast"/>
        </w:trPr>
        <w:tc>
          <w:tcPr>
            <w:tcW w:w="641" w:type="dxa"/>
            <w:vMerge w:val="continue"/>
            <w:vAlign w:val="center"/>
          </w:tcPr>
          <w:p>
            <w:pPr>
              <w:ind w:firstLine="0" w:firstLineChars="0"/>
              <w:jc w:val="center"/>
              <w:rPr>
                <w:b/>
              </w:rPr>
            </w:pPr>
          </w:p>
        </w:tc>
        <w:tc>
          <w:tcPr>
            <w:tcW w:w="2056" w:type="dxa"/>
            <w:vAlign w:val="center"/>
          </w:tcPr>
          <w:p>
            <w:pPr>
              <w:ind w:firstLine="0" w:firstLineChars="0"/>
              <w:jc w:val="center"/>
              <w:rPr>
                <w:b/>
              </w:rPr>
            </w:pPr>
            <w:r>
              <w:rPr>
                <w:rFonts w:hint="eastAsia"/>
                <w:b/>
                <w:spacing w:val="38"/>
                <w:sz w:val="24"/>
              </w:rPr>
              <w:t>帐号</w:t>
            </w:r>
          </w:p>
        </w:tc>
        <w:tc>
          <w:tcPr>
            <w:tcW w:w="4184" w:type="dxa"/>
            <w:gridSpan w:val="5"/>
            <w:vAlign w:val="center"/>
          </w:tcPr>
          <w:p>
            <w:pPr>
              <w:ind w:firstLine="0" w:firstLineChars="0"/>
              <w:jc w:val="center"/>
              <w:rPr>
                <w:sz w:val="24"/>
              </w:rPr>
            </w:pPr>
          </w:p>
        </w:tc>
        <w:tc>
          <w:tcPr>
            <w:tcW w:w="1641" w:type="dxa"/>
            <w:vMerge w:val="continue"/>
            <w:vAlign w:val="center"/>
          </w:tcPr>
          <w:p>
            <w:pPr>
              <w:ind w:firstLine="0" w:firstLineChars="0"/>
              <w:jc w:val="center"/>
              <w:rPr>
                <w:b/>
              </w:rPr>
            </w:pPr>
          </w:p>
        </w:tc>
      </w:tr>
    </w:tbl>
    <w:p>
      <w:pPr>
        <w:spacing w:line="600" w:lineRule="exact"/>
        <w:sectPr>
          <w:pgSz w:w="11906" w:h="16838"/>
          <w:pgMar w:top="1440" w:right="1800" w:bottom="1440" w:left="1800" w:header="851" w:footer="992" w:gutter="0"/>
          <w:cols w:space="720" w:num="1"/>
          <w:docGrid w:type="lines" w:linePitch="312" w:charSpace="0"/>
        </w:sectPr>
      </w:pPr>
    </w:p>
    <w:p>
      <w:pPr>
        <w:spacing w:line="600" w:lineRule="exact"/>
      </w:pPr>
      <w:r>
        <w:rPr>
          <w:rFonts w:hint="eastAsia"/>
        </w:rPr>
        <w:t>印花税票粘贴处：</w:t>
      </w:r>
    </w:p>
    <w:p>
      <w:pPr>
        <w:spacing w:line="540" w:lineRule="exact"/>
      </w:pPr>
    </w:p>
    <w:p>
      <w:pPr>
        <w:spacing w:line="540" w:lineRule="exact"/>
      </w:pPr>
    </w:p>
    <w:p>
      <w:pPr>
        <w:spacing w:line="540" w:lineRule="exact"/>
      </w:pPr>
    </w:p>
    <w:p>
      <w:pPr>
        <w:spacing w:line="540" w:lineRule="exact"/>
        <w:rPr>
          <w:u w:val="single"/>
        </w:rPr>
      </w:pPr>
      <w:r>
        <w:rPr>
          <w:rFonts w:hint="eastAsia"/>
          <w:u w:val="single"/>
        </w:rPr>
        <w:t xml:space="preserve">                                </w:t>
      </w:r>
    </w:p>
    <w:p>
      <w:pPr>
        <w:spacing w:line="540" w:lineRule="exact"/>
      </w:pPr>
      <w:r>
        <w:rPr>
          <w:rFonts w:hint="eastAsia"/>
        </w:rPr>
        <w:t>（以下由技术合同登记机构填写）</w:t>
      </w:r>
    </w:p>
    <w:p>
      <w:pPr>
        <w:spacing w:line="540" w:lineRule="exact"/>
      </w:pPr>
    </w:p>
    <w:p>
      <w:pPr>
        <w:spacing w:line="540" w:lineRule="exact"/>
      </w:pPr>
      <w:r>
        <w:rPr>
          <w:rFonts w:hint="eastAsia"/>
        </w:rPr>
        <w:t>合同登记编号：</w:t>
      </w:r>
    </w:p>
    <w:p>
      <w:pPr>
        <w:spacing w:line="540" w:lineRule="exact"/>
        <w:rPr>
          <w:bdr w:val="single" w:color="auto" w:sz="4" w:space="0"/>
        </w:rPr>
      </w:pPr>
    </w:p>
    <w:tbl>
      <w:tblPr>
        <w:tblStyle w:val="34"/>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545"/>
        <w:gridCol w:w="546"/>
        <w:gridCol w:w="546"/>
        <w:gridCol w:w="546"/>
        <w:gridCol w:w="546"/>
        <w:gridCol w:w="546"/>
        <w:gridCol w:w="546"/>
        <w:gridCol w:w="546"/>
        <w:gridCol w:w="546"/>
        <w:gridCol w:w="546"/>
        <w:gridCol w:w="546"/>
        <w:gridCol w:w="546"/>
        <w:gridCol w:w="546"/>
        <w:gridCol w:w="546"/>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line="540" w:lineRule="exact"/>
              <w:rPr>
                <w:bdr w:val="single" w:color="auto" w:sz="4" w:space="0"/>
              </w:rPr>
            </w:pPr>
          </w:p>
        </w:tc>
        <w:tc>
          <w:tcPr>
            <w:tcW w:w="545" w:type="dxa"/>
          </w:tcPr>
          <w:p>
            <w:pPr>
              <w:spacing w:line="540" w:lineRule="exact"/>
              <w:rPr>
                <w:bdr w:val="single" w:color="auto" w:sz="4" w:space="0"/>
              </w:rPr>
            </w:pPr>
          </w:p>
        </w:tc>
        <w:tc>
          <w:tcPr>
            <w:tcW w:w="546" w:type="dxa"/>
          </w:tcPr>
          <w:p>
            <w:pPr>
              <w:spacing w:line="540" w:lineRule="exact"/>
              <w:rPr>
                <w:bdr w:val="single" w:color="auto" w:sz="4" w:space="0"/>
              </w:rPr>
            </w:pPr>
          </w:p>
        </w:tc>
        <w:tc>
          <w:tcPr>
            <w:tcW w:w="546" w:type="dxa"/>
          </w:tcPr>
          <w:p>
            <w:pPr>
              <w:spacing w:line="540" w:lineRule="exact"/>
              <w:rPr>
                <w:bdr w:val="single" w:color="auto" w:sz="4" w:space="0"/>
              </w:rPr>
            </w:pPr>
          </w:p>
        </w:tc>
        <w:tc>
          <w:tcPr>
            <w:tcW w:w="546" w:type="dxa"/>
          </w:tcPr>
          <w:p>
            <w:pPr>
              <w:spacing w:line="540" w:lineRule="exact"/>
              <w:rPr>
                <w:bdr w:val="single" w:color="auto" w:sz="4" w:space="0"/>
              </w:rPr>
            </w:pPr>
          </w:p>
        </w:tc>
        <w:tc>
          <w:tcPr>
            <w:tcW w:w="546" w:type="dxa"/>
          </w:tcPr>
          <w:p>
            <w:pPr>
              <w:spacing w:line="540" w:lineRule="exact"/>
              <w:rPr>
                <w:bdr w:val="single" w:color="auto" w:sz="4" w:space="0"/>
              </w:rPr>
            </w:pPr>
          </w:p>
        </w:tc>
        <w:tc>
          <w:tcPr>
            <w:tcW w:w="546" w:type="dxa"/>
          </w:tcPr>
          <w:p>
            <w:pPr>
              <w:spacing w:line="540" w:lineRule="exact"/>
              <w:rPr>
                <w:bdr w:val="single" w:color="auto" w:sz="4" w:space="0"/>
              </w:rPr>
            </w:pPr>
          </w:p>
        </w:tc>
        <w:tc>
          <w:tcPr>
            <w:tcW w:w="546" w:type="dxa"/>
          </w:tcPr>
          <w:p>
            <w:pPr>
              <w:spacing w:line="540" w:lineRule="exact"/>
              <w:rPr>
                <w:bdr w:val="single" w:color="auto" w:sz="4" w:space="0"/>
              </w:rPr>
            </w:pPr>
          </w:p>
        </w:tc>
        <w:tc>
          <w:tcPr>
            <w:tcW w:w="546" w:type="dxa"/>
          </w:tcPr>
          <w:p>
            <w:pPr>
              <w:spacing w:line="540" w:lineRule="exact"/>
              <w:rPr>
                <w:bdr w:val="single" w:color="auto" w:sz="4" w:space="0"/>
              </w:rPr>
            </w:pPr>
          </w:p>
        </w:tc>
        <w:tc>
          <w:tcPr>
            <w:tcW w:w="546" w:type="dxa"/>
          </w:tcPr>
          <w:p>
            <w:pPr>
              <w:spacing w:line="540" w:lineRule="exact"/>
              <w:rPr>
                <w:bdr w:val="single" w:color="auto" w:sz="4" w:space="0"/>
              </w:rPr>
            </w:pPr>
          </w:p>
        </w:tc>
        <w:tc>
          <w:tcPr>
            <w:tcW w:w="546" w:type="dxa"/>
          </w:tcPr>
          <w:p>
            <w:pPr>
              <w:spacing w:line="540" w:lineRule="exact"/>
              <w:rPr>
                <w:bdr w:val="single" w:color="auto" w:sz="4" w:space="0"/>
              </w:rPr>
            </w:pPr>
          </w:p>
        </w:tc>
        <w:tc>
          <w:tcPr>
            <w:tcW w:w="546" w:type="dxa"/>
          </w:tcPr>
          <w:p>
            <w:pPr>
              <w:spacing w:line="540" w:lineRule="exact"/>
              <w:rPr>
                <w:bdr w:val="single" w:color="auto" w:sz="4" w:space="0"/>
              </w:rPr>
            </w:pPr>
          </w:p>
        </w:tc>
        <w:tc>
          <w:tcPr>
            <w:tcW w:w="546" w:type="dxa"/>
          </w:tcPr>
          <w:p>
            <w:pPr>
              <w:spacing w:line="540" w:lineRule="exact"/>
              <w:rPr>
                <w:bdr w:val="single" w:color="auto" w:sz="4" w:space="0"/>
              </w:rPr>
            </w:pPr>
          </w:p>
        </w:tc>
        <w:tc>
          <w:tcPr>
            <w:tcW w:w="546" w:type="dxa"/>
          </w:tcPr>
          <w:p>
            <w:pPr>
              <w:spacing w:line="540" w:lineRule="exact"/>
              <w:rPr>
                <w:bdr w:val="single" w:color="auto" w:sz="4" w:space="0"/>
              </w:rPr>
            </w:pPr>
          </w:p>
        </w:tc>
        <w:tc>
          <w:tcPr>
            <w:tcW w:w="546" w:type="dxa"/>
          </w:tcPr>
          <w:p>
            <w:pPr>
              <w:spacing w:line="540" w:lineRule="exact"/>
              <w:rPr>
                <w:bdr w:val="single" w:color="auto" w:sz="4" w:space="0"/>
              </w:rPr>
            </w:pPr>
          </w:p>
        </w:tc>
        <w:tc>
          <w:tcPr>
            <w:tcW w:w="532" w:type="dxa"/>
          </w:tcPr>
          <w:p>
            <w:pPr>
              <w:spacing w:line="540" w:lineRule="exact"/>
              <w:rPr>
                <w:bdr w:val="single" w:color="auto" w:sz="4" w:space="0"/>
              </w:rPr>
            </w:pPr>
          </w:p>
        </w:tc>
      </w:tr>
    </w:tbl>
    <w:p>
      <w:pPr>
        <w:spacing w:line="540" w:lineRule="exact"/>
        <w:rPr>
          <w:bdr w:val="single" w:color="auto" w:sz="4" w:space="0"/>
        </w:rPr>
      </w:pPr>
    </w:p>
    <w:p>
      <w:pPr>
        <w:numPr>
          <w:ilvl w:val="0"/>
          <w:numId w:val="3"/>
        </w:numPr>
        <w:adjustRightInd/>
        <w:snapToGrid/>
        <w:spacing w:line="540" w:lineRule="exact"/>
        <w:ind w:firstLine="560" w:firstLineChars="0"/>
        <w:rPr>
          <w:u w:val="single"/>
        </w:rPr>
      </w:pPr>
      <w:r>
        <w:rPr>
          <w:rFonts w:hint="eastAsia"/>
        </w:rPr>
        <w:t>申请登记人：</w:t>
      </w:r>
      <w:r>
        <w:rPr>
          <w:rFonts w:hint="eastAsia"/>
          <w:u w:val="single"/>
        </w:rPr>
        <w:t xml:space="preserve">                    </w:t>
      </w:r>
    </w:p>
    <w:p>
      <w:pPr>
        <w:spacing w:line="540" w:lineRule="exact"/>
        <w:rPr>
          <w:u w:val="single"/>
        </w:rPr>
      </w:pPr>
      <w:r>
        <w:rPr>
          <w:rFonts w:hint="eastAsia"/>
        </w:rPr>
        <w:t xml:space="preserve">  2．登记材料：（1）</w:t>
      </w:r>
      <w:r>
        <w:rPr>
          <w:rFonts w:hint="eastAsia"/>
          <w:u w:val="single"/>
        </w:rPr>
        <w:t xml:space="preserve">                   </w:t>
      </w:r>
    </w:p>
    <w:p>
      <w:pPr>
        <w:spacing w:line="540" w:lineRule="exact"/>
        <w:rPr>
          <w:u w:val="single"/>
        </w:rPr>
      </w:pPr>
      <w:r>
        <w:rPr>
          <w:rFonts w:hint="eastAsia"/>
        </w:rPr>
        <w:t xml:space="preserve">        （2）</w:t>
      </w:r>
      <w:r>
        <w:rPr>
          <w:rFonts w:hint="eastAsia"/>
          <w:u w:val="single"/>
        </w:rPr>
        <w:t xml:space="preserve">                   </w:t>
      </w:r>
    </w:p>
    <w:p>
      <w:pPr>
        <w:spacing w:line="540" w:lineRule="exact"/>
        <w:rPr>
          <w:u w:val="single"/>
        </w:rPr>
      </w:pPr>
      <w:r>
        <w:rPr>
          <w:rFonts w:hint="eastAsia"/>
        </w:rPr>
        <w:t xml:space="preserve">        （3）</w:t>
      </w:r>
      <w:r>
        <w:rPr>
          <w:rFonts w:hint="eastAsia"/>
          <w:u w:val="single"/>
        </w:rPr>
        <w:t xml:space="preserve">                   </w:t>
      </w:r>
    </w:p>
    <w:p>
      <w:pPr>
        <w:spacing w:line="540" w:lineRule="exact"/>
        <w:rPr>
          <w:u w:val="single"/>
        </w:rPr>
      </w:pPr>
      <w:r>
        <w:rPr>
          <w:rFonts w:hint="eastAsia"/>
        </w:rPr>
        <w:t xml:space="preserve">  3．合同类型：</w:t>
      </w:r>
      <w:r>
        <w:rPr>
          <w:rFonts w:hint="eastAsia"/>
          <w:u w:val="single"/>
        </w:rPr>
        <w:t xml:space="preserve">                     </w:t>
      </w:r>
    </w:p>
    <w:p>
      <w:pPr>
        <w:spacing w:line="540" w:lineRule="exact"/>
        <w:rPr>
          <w:u w:val="single"/>
        </w:rPr>
      </w:pPr>
      <w:r>
        <w:rPr>
          <w:rFonts w:hint="eastAsia"/>
        </w:rPr>
        <w:t>4．合同交易额：</w:t>
      </w:r>
      <w:r>
        <w:rPr>
          <w:rFonts w:hint="eastAsia"/>
          <w:u w:val="single"/>
        </w:rPr>
        <w:t xml:space="preserve">                    </w:t>
      </w:r>
    </w:p>
    <w:p>
      <w:pPr>
        <w:spacing w:line="540" w:lineRule="exact"/>
        <w:rPr>
          <w:u w:val="single"/>
        </w:rPr>
      </w:pPr>
      <w:r>
        <w:rPr>
          <w:rFonts w:hint="eastAsia"/>
        </w:rPr>
        <w:t>5．技术交易额：</w:t>
      </w:r>
      <w:r>
        <w:rPr>
          <w:rFonts w:hint="eastAsia"/>
          <w:u w:val="single"/>
        </w:rPr>
        <w:t xml:space="preserve">                    </w:t>
      </w:r>
    </w:p>
    <w:p>
      <w:pPr>
        <w:spacing w:line="540" w:lineRule="exact"/>
      </w:pPr>
    </w:p>
    <w:p>
      <w:pPr>
        <w:spacing w:line="540" w:lineRule="exact"/>
      </w:pPr>
      <w:r>
        <w:rPr>
          <w:rFonts w:hint="eastAsia"/>
        </w:rPr>
        <w:t xml:space="preserve">               技术合同登记机构（印章）</w:t>
      </w:r>
    </w:p>
    <w:p>
      <w:pPr>
        <w:spacing w:line="540" w:lineRule="exact"/>
      </w:pPr>
    </w:p>
    <w:p>
      <w:pPr>
        <w:spacing w:line="540" w:lineRule="exact"/>
      </w:pPr>
      <w:r>
        <w:rPr>
          <w:rFonts w:hint="eastAsia"/>
        </w:rPr>
        <w:t xml:space="preserve">                 经办人：</w:t>
      </w:r>
    </w:p>
    <w:p>
      <w:pPr>
        <w:spacing w:line="540" w:lineRule="exact"/>
      </w:pPr>
      <w:r>
        <w:rPr>
          <w:rFonts w:hint="eastAsia"/>
        </w:rPr>
        <w:t>年  月  日</w:t>
      </w:r>
    </w:p>
    <w:p>
      <w:pPr>
        <w:pStyle w:val="4"/>
        <w:ind w:firstLine="880"/>
        <w:rPr>
          <w:rFonts w:eastAsia="宋体"/>
        </w:rPr>
      </w:pPr>
      <w:r>
        <w:rPr>
          <w:rFonts w:hint="eastAsia" w:eastAsia="宋体"/>
        </w:rPr>
        <w:br w:type="page"/>
      </w:r>
      <w:bookmarkStart w:id="39" w:name="_Toc5923"/>
      <w:r>
        <w:rPr>
          <w:rFonts w:hint="eastAsia" w:eastAsia="宋体"/>
        </w:rPr>
        <w:t>附件一：</w:t>
      </w:r>
      <w:bookmarkEnd w:id="39"/>
    </w:p>
    <w:p>
      <w:pPr>
        <w:widowControl/>
        <w:autoSpaceDE w:val="0"/>
        <w:autoSpaceDN w:val="0"/>
        <w:spacing w:line="312" w:lineRule="auto"/>
        <w:ind w:firstLine="883"/>
        <w:jc w:val="center"/>
        <w:rPr>
          <w:b/>
          <w:sz w:val="44"/>
          <w:szCs w:val="24"/>
        </w:rPr>
      </w:pPr>
      <w:r>
        <w:rPr>
          <w:rFonts w:hint="eastAsia"/>
          <w:b/>
          <w:bCs/>
          <w:kern w:val="0"/>
          <w:sz w:val="44"/>
          <w:szCs w:val="44"/>
        </w:rPr>
        <w:t>保密责任书</w:t>
      </w:r>
    </w:p>
    <w:p>
      <w:pPr>
        <w:widowControl/>
        <w:spacing w:line="312" w:lineRule="auto"/>
      </w:pPr>
      <w:r>
        <w:rPr>
          <w:rFonts w:hint="eastAsia"/>
        </w:rPr>
        <w:t>甲方：中华人民共和国海南海事局</w:t>
      </w:r>
    </w:p>
    <w:p>
      <w:pPr>
        <w:widowControl/>
        <w:spacing w:line="312" w:lineRule="auto"/>
        <w:rPr>
          <w:u w:val="single"/>
        </w:rPr>
      </w:pPr>
      <w:r>
        <w:rPr>
          <w:rFonts w:hint="eastAsia"/>
        </w:rPr>
        <w:t>乙方：</w:t>
      </w:r>
      <w:r>
        <w:rPr>
          <w:rFonts w:hint="eastAsia"/>
          <w:u w:val="single"/>
        </w:rPr>
        <w:t xml:space="preserve">          </w:t>
      </w:r>
    </w:p>
    <w:p>
      <w:pPr>
        <w:widowControl/>
        <w:spacing w:line="312" w:lineRule="auto"/>
      </w:pPr>
      <w:r>
        <w:rPr>
          <w:rFonts w:hint="eastAsia"/>
        </w:rPr>
        <w:t>鉴于乙方在工作期间将会获悉甲方的专利技术、技术秘密、客户数据和商业秘密，为有效保护甲方的合法权益，根据《中华人民共和国民法典》及相关法律法规和有关部委的规定，双方当事人就乙方在工作期间及离职以后应当履行的保密义务，本着平等、自愿、公平和诚实守信的原则签订本协议。</w:t>
      </w:r>
    </w:p>
    <w:p>
      <w:pPr>
        <w:widowControl/>
        <w:spacing w:line="312" w:lineRule="auto"/>
        <w:ind w:firstLine="562"/>
        <w:rPr>
          <w:rFonts w:cs="宋体"/>
          <w:b/>
          <w:bCs/>
        </w:rPr>
      </w:pPr>
      <w:r>
        <w:rPr>
          <w:rFonts w:hint="eastAsia" w:cs="宋体"/>
          <w:b/>
          <w:bCs/>
        </w:rPr>
        <w:t>第一条 保密信息的范围</w:t>
      </w:r>
    </w:p>
    <w:p>
      <w:pPr>
        <w:widowControl/>
        <w:spacing w:line="312" w:lineRule="auto"/>
      </w:pPr>
      <w:r>
        <w:rPr>
          <w:rFonts w:hint="eastAsia"/>
        </w:rPr>
        <w:t>1.本协议所指“保密信息”包括所有甲方的专利技术、技术秘密、客户数据和商业秘密，以及与前述信息、秘密相关的图纸、数据库、报表、题库和双向细目表等所有资料。</w:t>
      </w:r>
    </w:p>
    <w:p>
      <w:pPr>
        <w:widowControl/>
        <w:spacing w:line="312" w:lineRule="auto"/>
      </w:pPr>
      <w:r>
        <w:rPr>
          <w:rFonts w:hint="eastAsia"/>
        </w:rPr>
        <w:t>2.甲方依照法律规定（如在缔结过程中知悉其他相对人的商业秘密）和在有关协议的约定（如技术合同）中对外承担保密义务的事项，也属本保密协议所称的商业秘密。乙方对上述专利技术、技术秘密、客户数据和商业秘密承担保密义务。</w:t>
      </w:r>
    </w:p>
    <w:p>
      <w:pPr>
        <w:widowControl/>
        <w:spacing w:line="312" w:lineRule="auto"/>
        <w:ind w:firstLine="562"/>
        <w:rPr>
          <w:rFonts w:cs="宋体"/>
          <w:b/>
          <w:bCs/>
        </w:rPr>
      </w:pPr>
      <w:r>
        <w:rPr>
          <w:rFonts w:hint="eastAsia" w:cs="宋体"/>
          <w:b/>
          <w:bCs/>
        </w:rPr>
        <w:t>第二条 乙方的保密义务</w:t>
      </w:r>
    </w:p>
    <w:p>
      <w:pPr>
        <w:widowControl/>
        <w:spacing w:line="312" w:lineRule="auto"/>
      </w:pPr>
      <w:r>
        <w:rPr>
          <w:rFonts w:hint="eastAsia"/>
        </w:rPr>
        <w:t>1.乙方在甲方工作期间，必须遵守保密相关的所有的规章和制度，履行保密职责。</w:t>
      </w:r>
    </w:p>
    <w:p>
      <w:pPr>
        <w:widowControl/>
        <w:spacing w:line="312" w:lineRule="auto"/>
      </w:pPr>
      <w:r>
        <w:rPr>
          <w:rFonts w:hint="eastAsia"/>
        </w:rPr>
        <w:t>2.保密规章、制度没有规定或规定不明确之处，乙方亦应本着谨慎、诚实的态度，采取必要、合理的措施，维护本协议约定的保密信息。</w:t>
      </w:r>
    </w:p>
    <w:p>
      <w:pPr>
        <w:widowControl/>
        <w:spacing w:line="312" w:lineRule="auto"/>
      </w:pPr>
      <w:r>
        <w:rPr>
          <w:rFonts w:hint="eastAsia"/>
        </w:rPr>
        <w:t>3.乙方承诺，未经甲方同意，不得泄露、告知、公布、发布、传授、转让或其他任何方式使任何第三方知悉本协议中约定的保密信息，也不得在履行职务之外使用这些保密信息，包括乙方因工作而设计或取得的。</w:t>
      </w:r>
    </w:p>
    <w:p>
      <w:pPr>
        <w:widowControl/>
        <w:spacing w:line="312" w:lineRule="auto"/>
      </w:pPr>
      <w:r>
        <w:rPr>
          <w:rFonts w:hint="eastAsia"/>
        </w:rPr>
        <w:t>4.乙方不得实施或帮助（有偿或无偿）任何第三人实施任何形式的侵犯甲方专利权和专利申请权的行为。</w:t>
      </w:r>
    </w:p>
    <w:p>
      <w:pPr>
        <w:widowControl/>
        <w:spacing w:line="312" w:lineRule="auto"/>
      </w:pPr>
      <w:r>
        <w:rPr>
          <w:rFonts w:hint="eastAsia"/>
        </w:rPr>
        <w:t>5.乙方发现甲方的保密信息被泄露或因乙方过错泄露甲方的保密信息，应当采取有效措施防止泄露扩大，并及时书面报告甲方。</w:t>
      </w:r>
    </w:p>
    <w:p>
      <w:pPr>
        <w:widowControl/>
        <w:spacing w:line="312" w:lineRule="auto"/>
      </w:pPr>
      <w:r>
        <w:rPr>
          <w:rFonts w:hint="eastAsia"/>
        </w:rPr>
        <w:t>6.乙方应妥善保管所有与工作有关的技术资料、题库资料、客户资料等。</w:t>
      </w:r>
    </w:p>
    <w:p>
      <w:pPr>
        <w:widowControl/>
        <w:spacing w:line="312" w:lineRule="auto"/>
      </w:pPr>
      <w:r>
        <w:rPr>
          <w:rFonts w:hint="eastAsia"/>
        </w:rPr>
        <w:t>7.乙方因职务需要持有或保管的一切记录甲方文件、资料、图表等秘密信息的任何形式的载体，均归甲方所有。</w:t>
      </w:r>
    </w:p>
    <w:p>
      <w:pPr>
        <w:widowControl/>
        <w:spacing w:line="312" w:lineRule="auto"/>
      </w:pPr>
      <w:r>
        <w:rPr>
          <w:rFonts w:hint="eastAsia"/>
        </w:rPr>
        <w:t>8.乙方所涉及甲方的要求的成果物产生的过程要有文字记录。所有数据不得复制、扩散、传递;不得携带系统数据外出，因工作需要携带数据外出的须获得甲方批准。</w:t>
      </w:r>
    </w:p>
    <w:p>
      <w:pPr>
        <w:widowControl/>
        <w:spacing w:line="312" w:lineRule="auto"/>
      </w:pPr>
      <w:r>
        <w:rPr>
          <w:rFonts w:hint="eastAsia"/>
        </w:rPr>
        <w:t>9.乙方在工作期间为甲方编写的软件及软件源代码、服务器和计算机终端上的数据等软件版权属甲方所有。乙方不得通过加载恶意代码或表符等其他手段致使甲方信息泄密。</w:t>
      </w:r>
    </w:p>
    <w:p>
      <w:pPr>
        <w:widowControl/>
        <w:spacing w:line="312" w:lineRule="auto"/>
      </w:pPr>
      <w:r>
        <w:rPr>
          <w:rFonts w:hint="eastAsia"/>
        </w:rPr>
        <w:t>10.乙方有义务保管好所有的保密资料，任何人不得携带移动存储介质将保密资料复制带出;不得私自传借、披露;不得利用所掌握的商业秘密牟取私利。</w:t>
      </w:r>
    </w:p>
    <w:p>
      <w:pPr>
        <w:widowControl/>
        <w:spacing w:line="312" w:lineRule="auto"/>
      </w:pPr>
      <w:r>
        <w:rPr>
          <w:rFonts w:hint="eastAsia"/>
        </w:rPr>
        <w:t>11.在劳动合同关系终止后，乙方仍应遵守本协议约定的保密义务，并在离职手续办理期间将保管的甲方保密信息资料交还给甲方，不得复制、保留任何文件或副本。</w:t>
      </w:r>
    </w:p>
    <w:p>
      <w:pPr>
        <w:widowControl/>
        <w:spacing w:line="312" w:lineRule="auto"/>
        <w:ind w:firstLine="562"/>
        <w:rPr>
          <w:rFonts w:cs="宋体"/>
          <w:b/>
          <w:bCs/>
        </w:rPr>
      </w:pPr>
      <w:r>
        <w:rPr>
          <w:rFonts w:hint="eastAsia" w:cs="宋体"/>
          <w:b/>
          <w:bCs/>
        </w:rPr>
        <w:t>第三条 保密期限</w:t>
      </w:r>
    </w:p>
    <w:p>
      <w:pPr>
        <w:widowControl/>
        <w:spacing w:line="312" w:lineRule="auto"/>
      </w:pPr>
      <w:r>
        <w:rPr>
          <w:rFonts w:hint="eastAsia"/>
        </w:rPr>
        <w:t>无期限保密，直至甲方依法或自愿公开信息，或放弃对信息的保密要求为止。</w:t>
      </w:r>
    </w:p>
    <w:p>
      <w:pPr>
        <w:widowControl/>
        <w:spacing w:line="312" w:lineRule="auto"/>
        <w:ind w:firstLine="562"/>
        <w:rPr>
          <w:rFonts w:cs="宋体"/>
          <w:b/>
          <w:bCs/>
        </w:rPr>
      </w:pPr>
      <w:r>
        <w:rPr>
          <w:rFonts w:hint="eastAsia" w:cs="宋体"/>
          <w:b/>
          <w:bCs/>
        </w:rPr>
        <w:t>第四条 违约责任</w:t>
      </w:r>
    </w:p>
    <w:p>
      <w:pPr>
        <w:widowControl/>
        <w:spacing w:line="312" w:lineRule="auto"/>
      </w:pPr>
      <w:r>
        <w:rPr>
          <w:rFonts w:hint="eastAsia"/>
        </w:rPr>
        <w:t>1.乙方违反协议中的保密义务，给甲方造成损失的，乙方应承担违约责任，包括但不限于经济赔偿和承担相应的法律责任。</w:t>
      </w:r>
    </w:p>
    <w:p>
      <w:pPr>
        <w:widowControl/>
        <w:spacing w:line="312" w:lineRule="auto"/>
      </w:pPr>
      <w:r>
        <w:rPr>
          <w:rFonts w:hint="eastAsia"/>
        </w:rPr>
        <w:t xml:space="preserve">2.乙方违反本协议而导致甲方遭受第三方侵权指控，乙方应当承担甲方应诉等一切费用。 </w:t>
      </w:r>
    </w:p>
    <w:p>
      <w:pPr>
        <w:widowControl/>
        <w:spacing w:line="312" w:lineRule="auto"/>
        <w:ind w:firstLine="562"/>
        <w:rPr>
          <w:rFonts w:cs="宋体"/>
          <w:b/>
          <w:bCs/>
        </w:rPr>
      </w:pPr>
      <w:r>
        <w:rPr>
          <w:rFonts w:hint="eastAsia" w:cs="宋体"/>
          <w:b/>
          <w:bCs/>
        </w:rPr>
        <w:t>第五条 条款独立性</w:t>
      </w:r>
    </w:p>
    <w:p>
      <w:pPr>
        <w:widowControl/>
        <w:spacing w:line="312" w:lineRule="auto"/>
      </w:pPr>
      <w:r>
        <w:rPr>
          <w:rFonts w:hint="eastAsia"/>
        </w:rPr>
        <w:t>本保密条款具有独立性，不受本合同变更、终止或解除的影响。</w:t>
      </w:r>
    </w:p>
    <w:p>
      <w:pPr>
        <w:widowControl/>
        <w:spacing w:line="312" w:lineRule="auto"/>
        <w:ind w:firstLine="640"/>
        <w:rPr>
          <w:sz w:val="32"/>
        </w:rPr>
      </w:pPr>
    </w:p>
    <w:p>
      <w:pPr>
        <w:widowControl/>
        <w:spacing w:line="312" w:lineRule="auto"/>
        <w:ind w:firstLine="640"/>
        <w:rPr>
          <w:sz w:val="32"/>
        </w:rPr>
      </w:pPr>
    </w:p>
    <w:p>
      <w:pPr>
        <w:widowControl/>
        <w:spacing w:line="312" w:lineRule="auto"/>
        <w:ind w:left="6300" w:hanging="6300" w:hangingChars="2250"/>
      </w:pPr>
      <w:r>
        <w:rPr>
          <w:rFonts w:hint="eastAsia"/>
        </w:rPr>
        <w:t xml:space="preserve"> 甲方：海南海事局       乙方：     </w:t>
      </w:r>
    </w:p>
    <w:p>
      <w:pPr>
        <w:widowControl/>
        <w:spacing w:line="312" w:lineRule="auto"/>
      </w:pPr>
    </w:p>
    <w:p>
      <w:pPr>
        <w:widowControl/>
        <w:spacing w:line="312" w:lineRule="auto"/>
        <w:ind w:firstLine="420" w:firstLineChars="150"/>
      </w:pPr>
      <w:r>
        <w:rPr>
          <w:rFonts w:hint="eastAsia"/>
        </w:rPr>
        <w:t xml:space="preserve">年  月  日              年  月  日 </w:t>
      </w:r>
    </w:p>
    <w:p>
      <w:pPr>
        <w:widowControl/>
        <w:spacing w:line="312" w:lineRule="auto"/>
        <w:ind w:firstLine="420" w:firstLineChars="150"/>
      </w:pPr>
    </w:p>
    <w:p>
      <w:pPr>
        <w:pStyle w:val="4"/>
        <w:ind w:firstLine="880"/>
        <w:rPr>
          <w:rFonts w:eastAsia="宋体"/>
        </w:rPr>
      </w:pPr>
      <w:r>
        <w:rPr>
          <w:rFonts w:hint="eastAsia" w:eastAsia="宋体"/>
        </w:rPr>
        <w:br w:type="page"/>
      </w:r>
      <w:bookmarkStart w:id="40" w:name="_Toc29676"/>
      <w:r>
        <w:rPr>
          <w:rFonts w:hint="eastAsia" w:eastAsia="宋体"/>
        </w:rPr>
        <w:t>附件二：</w:t>
      </w:r>
      <w:bookmarkEnd w:id="40"/>
    </w:p>
    <w:p>
      <w:pPr>
        <w:widowControl/>
        <w:autoSpaceDE w:val="0"/>
        <w:autoSpaceDN w:val="0"/>
        <w:spacing w:line="312" w:lineRule="auto"/>
        <w:ind w:firstLine="883"/>
        <w:jc w:val="center"/>
        <w:rPr>
          <w:b/>
          <w:sz w:val="44"/>
          <w:szCs w:val="24"/>
        </w:rPr>
      </w:pPr>
      <w:r>
        <w:rPr>
          <w:rFonts w:hint="eastAsia"/>
          <w:b/>
          <w:bCs/>
          <w:kern w:val="0"/>
          <w:sz w:val="44"/>
          <w:szCs w:val="44"/>
        </w:rPr>
        <w:t>安全承诺书</w:t>
      </w:r>
    </w:p>
    <w:p>
      <w:pPr>
        <w:widowControl/>
        <w:spacing w:line="312" w:lineRule="auto"/>
        <w:ind w:left="-165" w:leftChars="-59"/>
        <w:rPr>
          <w:shd w:val="clear" w:color="auto" w:fill="FFFFFF"/>
        </w:rPr>
      </w:pPr>
      <w:r>
        <w:rPr>
          <w:rFonts w:hint="eastAsia"/>
          <w:shd w:val="clear" w:color="auto" w:fill="FFFFFF"/>
        </w:rPr>
        <w:t>本单位******作为海南自由贸易港船员考试英文题库建设单位，由** 年*月*日至** 年**月**日负责相关考试服务工作，为避免权责纠纷，特做以下申明：</w:t>
      </w:r>
    </w:p>
    <w:p>
      <w:pPr>
        <w:widowControl/>
        <w:spacing w:line="312" w:lineRule="auto"/>
        <w:ind w:left="-165" w:leftChars="-59"/>
        <w:rPr>
          <w:shd w:val="clear" w:color="auto" w:fill="FFFFFF"/>
        </w:rPr>
      </w:pPr>
      <w:r>
        <w:rPr>
          <w:rFonts w:hint="eastAsia"/>
          <w:shd w:val="clear" w:color="auto" w:fill="FFFFFF"/>
        </w:rPr>
        <w:t>一、本单位遵守国家信息安全等级保护制度要求和海南海事局相关信息安全管理制度及规范，自觉接受海南海事局的安全监督、检查。</w:t>
      </w:r>
    </w:p>
    <w:p>
      <w:pPr>
        <w:widowControl/>
        <w:spacing w:line="312" w:lineRule="auto"/>
        <w:ind w:left="-165" w:leftChars="-59"/>
        <w:rPr>
          <w:shd w:val="clear" w:color="auto" w:fill="FFFFFF"/>
        </w:rPr>
      </w:pPr>
      <w:r>
        <w:rPr>
          <w:rFonts w:hint="eastAsia"/>
          <w:shd w:val="clear" w:color="auto" w:fill="FFFFFF"/>
        </w:rPr>
        <w:t>二、不从事危害信息安全的活动，因本单位考试服务工作出现安全事件并对海南海事局业务、系统和网络造成不利影响，责任由本单位承担。本条所指安全事件包括但不限于如下内容：</w:t>
      </w:r>
    </w:p>
    <w:p>
      <w:pPr>
        <w:widowControl/>
        <w:spacing w:line="312" w:lineRule="auto"/>
        <w:ind w:left="-165" w:leftChars="-59"/>
        <w:rPr>
          <w:shd w:val="clear" w:color="auto" w:fill="FFFFFF"/>
        </w:rPr>
      </w:pPr>
      <w:r>
        <w:rPr>
          <w:rFonts w:hint="eastAsia"/>
          <w:shd w:val="clear" w:color="auto" w:fill="FFFFFF"/>
        </w:rPr>
        <w:t>（一）未经允许，进入海南海事局考试核心业务系统网络或者使用信息网络资源，造成网络中断及业务系统无法正常运行。</w:t>
      </w:r>
    </w:p>
    <w:p>
      <w:pPr>
        <w:widowControl/>
        <w:spacing w:line="312" w:lineRule="auto"/>
        <w:ind w:left="-165" w:leftChars="-59"/>
        <w:rPr>
          <w:shd w:val="clear" w:color="auto" w:fill="FFFFFF"/>
        </w:rPr>
      </w:pPr>
      <w:r>
        <w:rPr>
          <w:rFonts w:hint="eastAsia"/>
          <w:shd w:val="clear" w:color="auto" w:fill="FFFFFF"/>
        </w:rPr>
        <w:t xml:space="preserve">（二）未经允许，对海南海事局信息系统中存储、处理或者传输的数据进行删除、修改或者增加，造成数据丢失的。 </w:t>
      </w:r>
    </w:p>
    <w:p>
      <w:pPr>
        <w:widowControl/>
        <w:spacing w:line="312" w:lineRule="auto"/>
        <w:ind w:left="-165" w:leftChars="-59"/>
        <w:rPr>
          <w:shd w:val="clear" w:color="auto" w:fill="FFFFFF"/>
        </w:rPr>
      </w:pPr>
      <w:r>
        <w:rPr>
          <w:rFonts w:hint="eastAsia"/>
          <w:shd w:val="clear" w:color="auto" w:fill="FFFFFF"/>
        </w:rPr>
        <w:t>（三）对海南海事局信息系统故意制作、传播计算机病毒等破坏性程序，造成信息系统无法正常运行的。</w:t>
      </w:r>
    </w:p>
    <w:p>
      <w:pPr>
        <w:widowControl/>
        <w:spacing w:line="312" w:lineRule="auto"/>
        <w:ind w:left="-165" w:leftChars="-59"/>
        <w:rPr>
          <w:shd w:val="clear" w:color="auto" w:fill="FFFFFF"/>
        </w:rPr>
      </w:pPr>
      <w:r>
        <w:rPr>
          <w:rFonts w:hint="eastAsia"/>
          <w:shd w:val="clear" w:color="auto" w:fill="FFFFFF"/>
        </w:rPr>
        <w:t>（四）对海南海事局重要信息数据和信息进行泄密的。</w:t>
      </w:r>
    </w:p>
    <w:p>
      <w:pPr>
        <w:widowControl/>
        <w:spacing w:line="312" w:lineRule="auto"/>
        <w:ind w:left="-165" w:leftChars="-59"/>
        <w:rPr>
          <w:shd w:val="clear" w:color="auto" w:fill="FFFFFF"/>
        </w:rPr>
      </w:pPr>
      <w:r>
        <w:rPr>
          <w:rFonts w:hint="eastAsia"/>
          <w:shd w:val="clear" w:color="auto" w:fill="FFFFFF"/>
        </w:rPr>
        <w:t>（五）危害海南海事局其它信息网络安全的。</w:t>
      </w:r>
    </w:p>
    <w:p>
      <w:pPr>
        <w:widowControl/>
        <w:spacing w:line="312" w:lineRule="auto"/>
        <w:ind w:left="-165" w:leftChars="-59"/>
        <w:rPr>
          <w:shd w:val="clear" w:color="auto" w:fill="FFFFFF"/>
        </w:rPr>
      </w:pPr>
      <w:r>
        <w:rPr>
          <w:rFonts w:hint="eastAsia"/>
          <w:shd w:val="clear" w:color="auto" w:fill="FFFFFF"/>
        </w:rPr>
        <w:t>三、考试服务工作应当保障本部门信息安全工作，对系统漏洞主动查找和修补，乙方应当承担本部门信息安全造成的后果。</w:t>
      </w:r>
    </w:p>
    <w:p>
      <w:pPr>
        <w:widowControl/>
        <w:spacing w:line="312" w:lineRule="auto"/>
        <w:ind w:left="-165" w:leftChars="-59"/>
        <w:rPr>
          <w:shd w:val="clear" w:color="auto" w:fill="FFFFFF"/>
        </w:rPr>
      </w:pPr>
      <w:r>
        <w:rPr>
          <w:rFonts w:hint="eastAsia"/>
          <w:shd w:val="clear" w:color="auto" w:fill="FFFFFF"/>
        </w:rPr>
        <w:t xml:space="preserve">四、乙方应主动利用各项安全措施排除系统安全隐患，承担因系统脆弱性而遭受网络攻击引发的安全责任。 </w:t>
      </w:r>
    </w:p>
    <w:p>
      <w:pPr>
        <w:widowControl/>
        <w:spacing w:line="312" w:lineRule="auto"/>
        <w:ind w:left="-165" w:leftChars="-59"/>
        <w:rPr>
          <w:shd w:val="clear" w:color="auto" w:fill="FFFFFF"/>
        </w:rPr>
      </w:pPr>
      <w:r>
        <w:rPr>
          <w:rFonts w:hint="eastAsia"/>
          <w:shd w:val="clear" w:color="auto" w:fill="FFFFFF"/>
        </w:rPr>
        <w:t>五、考试服务过程中加强人员安全意识教育和人员行为管理，对本单位人员或本单位引入第三方人员造成的网络安全事件或信息安全泄密，本单位承担责任。</w:t>
      </w:r>
    </w:p>
    <w:p>
      <w:pPr>
        <w:widowControl/>
        <w:spacing w:line="312" w:lineRule="auto"/>
        <w:ind w:left="-165" w:leftChars="-59"/>
        <w:rPr>
          <w:shd w:val="clear" w:color="auto" w:fill="FFFFFF"/>
        </w:rPr>
      </w:pPr>
      <w:r>
        <w:rPr>
          <w:rFonts w:hint="eastAsia"/>
          <w:shd w:val="clear" w:color="auto" w:fill="FFFFFF"/>
        </w:rPr>
        <w:t xml:space="preserve">六、由国家相应部门证实确因设备存在尚未发现的漏洞或缺陷而引发的事件，不可预见或无法事先防止的外力破坏事件，属于可免责信息系统安全事故，由双方共同采取合理的行为和适当措施减轻损失。 </w:t>
      </w:r>
    </w:p>
    <w:p>
      <w:pPr>
        <w:widowControl/>
        <w:spacing w:line="312" w:lineRule="auto"/>
      </w:pPr>
      <w:r>
        <w:rPr>
          <w:rFonts w:hint="eastAsia"/>
          <w:shd w:val="clear" w:color="auto" w:fill="FFFFFF"/>
        </w:rPr>
        <w:t xml:space="preserve"> </w:t>
      </w:r>
    </w:p>
    <w:p>
      <w:pPr>
        <w:widowControl/>
        <w:spacing w:line="312" w:lineRule="auto"/>
        <w:rPr>
          <w:u w:val="single"/>
        </w:rPr>
      </w:pPr>
      <w:r>
        <w:rPr>
          <w:rFonts w:hint="eastAsia"/>
        </w:rPr>
        <w:t xml:space="preserve">        单位名称：</w:t>
      </w:r>
      <w:r>
        <w:rPr>
          <w:rFonts w:hint="eastAsia"/>
          <w:u w:val="single"/>
        </w:rPr>
        <w:t xml:space="preserve"> ******（盖章）</w:t>
      </w:r>
    </w:p>
    <w:p>
      <w:pPr>
        <w:widowControl/>
        <w:spacing w:line="312" w:lineRule="auto"/>
        <w:rPr>
          <w:u w:val="single"/>
        </w:rPr>
      </w:pPr>
    </w:p>
    <w:p>
      <w:pPr>
        <w:widowControl/>
        <w:spacing w:line="312" w:lineRule="auto"/>
      </w:pPr>
      <w:r>
        <w:rPr>
          <w:rFonts w:hint="eastAsia"/>
        </w:rPr>
        <w:t xml:space="preserve">        时  间：</w:t>
      </w:r>
      <w:r>
        <w:rPr>
          <w:rFonts w:hint="eastAsia"/>
          <w:u w:val="single"/>
        </w:rPr>
        <w:t xml:space="preserve">          </w:t>
      </w:r>
    </w:p>
    <w:p>
      <w:pPr>
        <w:ind w:firstLine="0" w:firstLineChars="0"/>
      </w:pPr>
      <w:r>
        <w:rPr>
          <w:rFonts w:hint="eastAsia"/>
        </w:rPr>
        <w:br w:type="page"/>
      </w:r>
    </w:p>
    <w:p/>
    <w:p>
      <w:pPr>
        <w:pStyle w:val="3"/>
        <w:ind w:firstLine="0" w:firstLineChars="0"/>
        <w:jc w:val="center"/>
      </w:pPr>
      <w:bookmarkStart w:id="41" w:name="_Toc31730"/>
      <w:bookmarkStart w:id="42" w:name="_Toc491149604"/>
      <w:r>
        <w:rPr>
          <w:rFonts w:hint="eastAsia"/>
        </w:rPr>
        <w:t>第三章 服务要求</w:t>
      </w:r>
      <w:bookmarkEnd w:id="41"/>
      <w:bookmarkEnd w:id="42"/>
    </w:p>
    <w:p/>
    <w:p/>
    <w:p/>
    <w:p/>
    <w:p/>
    <w:p/>
    <w:p/>
    <w:p/>
    <w:p>
      <w:pPr>
        <w:pStyle w:val="4"/>
        <w:ind w:firstLine="480"/>
        <w:rPr>
          <w:rFonts w:eastAsia="宋体"/>
        </w:rPr>
      </w:pPr>
      <w:r>
        <w:rPr>
          <w:rFonts w:eastAsia="宋体"/>
          <w:sz w:val="24"/>
        </w:rPr>
        <w:br w:type="page"/>
      </w:r>
      <w:bookmarkStart w:id="43" w:name="_Toc8243"/>
      <w:bookmarkStart w:id="44" w:name="_Toc491149605"/>
      <w:bookmarkStart w:id="45" w:name="_Toc426949486"/>
      <w:r>
        <w:rPr>
          <w:rFonts w:hint="eastAsia" w:eastAsia="宋体"/>
        </w:rPr>
        <w:t>一、 项目概况</w:t>
      </w:r>
      <w:bookmarkEnd w:id="43"/>
      <w:bookmarkEnd w:id="44"/>
      <w:bookmarkEnd w:id="45"/>
    </w:p>
    <w:p>
      <w:pPr>
        <w:pStyle w:val="5"/>
        <w:ind w:firstLine="723"/>
      </w:pPr>
      <w:bookmarkStart w:id="46" w:name="_Toc30759"/>
      <w:bookmarkStart w:id="47" w:name="_Toc426949487"/>
      <w:r>
        <w:rPr>
          <w:rFonts w:hint="eastAsia"/>
        </w:rPr>
        <w:t>1.</w:t>
      </w:r>
      <w:r>
        <w:t xml:space="preserve"> 项目名称</w:t>
      </w:r>
      <w:bookmarkEnd w:id="46"/>
      <w:bookmarkEnd w:id="47"/>
    </w:p>
    <w:p>
      <w:r>
        <w:rPr>
          <w:rFonts w:hint="eastAsia"/>
        </w:rPr>
        <w:t>海南自由贸易港船员考试英文题库建设项目</w:t>
      </w:r>
    </w:p>
    <w:p>
      <w:pPr>
        <w:pStyle w:val="5"/>
        <w:ind w:firstLine="723"/>
      </w:pPr>
      <w:bookmarkStart w:id="48" w:name="_Toc29972"/>
      <w:bookmarkStart w:id="49" w:name="_Toc426949488"/>
      <w:r>
        <w:rPr>
          <w:rFonts w:hint="eastAsia"/>
        </w:rPr>
        <w:t>2.</w:t>
      </w:r>
      <w:r>
        <w:t xml:space="preserve"> </w:t>
      </w:r>
      <w:r>
        <w:rPr>
          <w:rFonts w:hint="eastAsia"/>
        </w:rPr>
        <w:t>项目规模</w:t>
      </w:r>
      <w:bookmarkEnd w:id="48"/>
      <w:bookmarkEnd w:id="49"/>
    </w:p>
    <w:p>
      <w:r>
        <w:rPr>
          <w:rFonts w:hint="eastAsia"/>
        </w:rPr>
        <w:t>本项目总预算人民币40万元整。</w:t>
      </w:r>
    </w:p>
    <w:p>
      <w:pPr>
        <w:pStyle w:val="5"/>
        <w:ind w:firstLine="723"/>
      </w:pPr>
      <w:bookmarkStart w:id="50" w:name="_Toc426949489"/>
      <w:bookmarkStart w:id="51" w:name="_Toc14116"/>
      <w:r>
        <w:t xml:space="preserve">3. </w:t>
      </w:r>
      <w:r>
        <w:rPr>
          <w:rFonts w:hint="eastAsia"/>
        </w:rPr>
        <w:t>服务内容</w:t>
      </w:r>
      <w:bookmarkEnd w:id="50"/>
      <w:bookmarkEnd w:id="51"/>
      <w:r>
        <w:t xml:space="preserve"> </w:t>
      </w:r>
    </w:p>
    <w:p>
      <w:pPr>
        <w:spacing w:line="324" w:lineRule="auto"/>
        <w:rPr>
          <w:rFonts w:cs="仿宋"/>
        </w:rPr>
      </w:pPr>
      <w:bookmarkStart w:id="52" w:name="_Toc426949490"/>
      <w:bookmarkStart w:id="53" w:name="_Toc491149606"/>
      <w:r>
        <w:rPr>
          <w:rFonts w:hint="eastAsia" w:cs="仿宋"/>
        </w:rPr>
        <w:t>题库建设服务及考试软件改造开发和维护等两大块内容，具体见下表。</w:t>
      </w:r>
    </w:p>
    <w:tbl>
      <w:tblPr>
        <w:tblStyle w:val="3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207"/>
        <w:gridCol w:w="1885"/>
        <w:gridCol w:w="4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965" w:type="dxa"/>
            <w:vAlign w:val="center"/>
          </w:tcPr>
          <w:p>
            <w:pPr>
              <w:ind w:left="29" w:firstLine="0" w:firstLineChars="0"/>
              <w:jc w:val="center"/>
              <w:rPr>
                <w:b/>
                <w:bCs/>
                <w:sz w:val="24"/>
                <w:szCs w:val="24"/>
              </w:rPr>
            </w:pPr>
            <w:r>
              <w:rPr>
                <w:rFonts w:hint="eastAsia"/>
                <w:b/>
                <w:bCs/>
                <w:sz w:val="24"/>
                <w:szCs w:val="24"/>
              </w:rPr>
              <w:t>序号</w:t>
            </w:r>
          </w:p>
        </w:tc>
        <w:tc>
          <w:tcPr>
            <w:tcW w:w="1207" w:type="dxa"/>
            <w:vAlign w:val="center"/>
          </w:tcPr>
          <w:p>
            <w:pPr>
              <w:ind w:firstLine="0" w:firstLineChars="0"/>
              <w:jc w:val="center"/>
              <w:rPr>
                <w:b/>
                <w:bCs/>
                <w:sz w:val="24"/>
                <w:szCs w:val="24"/>
              </w:rPr>
            </w:pPr>
            <w:r>
              <w:rPr>
                <w:rFonts w:hint="eastAsia"/>
                <w:b/>
                <w:bCs/>
                <w:sz w:val="24"/>
                <w:szCs w:val="24"/>
              </w:rPr>
              <w:t>总项目</w:t>
            </w:r>
          </w:p>
        </w:tc>
        <w:tc>
          <w:tcPr>
            <w:tcW w:w="1885" w:type="dxa"/>
            <w:vAlign w:val="center"/>
          </w:tcPr>
          <w:p>
            <w:pPr>
              <w:ind w:firstLine="0" w:firstLineChars="0"/>
              <w:jc w:val="center"/>
              <w:rPr>
                <w:b/>
                <w:bCs/>
                <w:sz w:val="24"/>
                <w:szCs w:val="24"/>
              </w:rPr>
            </w:pPr>
            <w:r>
              <w:rPr>
                <w:rFonts w:hint="eastAsia"/>
                <w:b/>
                <w:bCs/>
                <w:sz w:val="24"/>
                <w:szCs w:val="24"/>
              </w:rPr>
              <w:t>子项目</w:t>
            </w:r>
          </w:p>
        </w:tc>
        <w:tc>
          <w:tcPr>
            <w:tcW w:w="4268" w:type="dxa"/>
            <w:vAlign w:val="center"/>
          </w:tcPr>
          <w:p>
            <w:pPr>
              <w:ind w:left="35" w:firstLine="0" w:firstLineChars="0"/>
              <w:jc w:val="center"/>
              <w:rPr>
                <w:b/>
                <w:bCs/>
                <w:sz w:val="24"/>
                <w:szCs w:val="24"/>
              </w:rPr>
            </w:pPr>
            <w:r>
              <w:rPr>
                <w:rFonts w:hint="eastAsia"/>
                <w:b/>
                <w:bCs/>
                <w:sz w:val="24"/>
                <w:szCs w:val="24"/>
              </w:rPr>
              <w:t>子项目描述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965" w:type="dxa"/>
            <w:vMerge w:val="restart"/>
            <w:vAlign w:val="center"/>
          </w:tcPr>
          <w:p>
            <w:pPr>
              <w:ind w:left="29" w:firstLine="0" w:firstLineChars="0"/>
              <w:jc w:val="center"/>
              <w:rPr>
                <w:b/>
                <w:bCs/>
                <w:sz w:val="24"/>
                <w:szCs w:val="24"/>
              </w:rPr>
            </w:pPr>
            <w:r>
              <w:rPr>
                <w:rFonts w:hint="eastAsia"/>
                <w:b/>
                <w:bCs/>
                <w:sz w:val="24"/>
                <w:szCs w:val="24"/>
              </w:rPr>
              <w:t>1</w:t>
            </w:r>
          </w:p>
        </w:tc>
        <w:tc>
          <w:tcPr>
            <w:tcW w:w="1207" w:type="dxa"/>
            <w:vMerge w:val="restart"/>
            <w:vAlign w:val="center"/>
          </w:tcPr>
          <w:p>
            <w:pPr>
              <w:ind w:firstLine="0" w:firstLineChars="0"/>
              <w:jc w:val="center"/>
              <w:rPr>
                <w:sz w:val="24"/>
                <w:szCs w:val="24"/>
              </w:rPr>
            </w:pPr>
            <w:r>
              <w:rPr>
                <w:rFonts w:hint="eastAsia"/>
                <w:sz w:val="24"/>
                <w:szCs w:val="24"/>
              </w:rPr>
              <w:t>题库建设服务</w:t>
            </w:r>
          </w:p>
        </w:tc>
        <w:tc>
          <w:tcPr>
            <w:tcW w:w="1885" w:type="dxa"/>
            <w:vAlign w:val="center"/>
          </w:tcPr>
          <w:p>
            <w:pPr>
              <w:ind w:firstLine="0" w:firstLineChars="0"/>
              <w:rPr>
                <w:sz w:val="24"/>
                <w:szCs w:val="24"/>
              </w:rPr>
            </w:pPr>
            <w:r>
              <w:rPr>
                <w:rFonts w:hint="eastAsia"/>
                <w:sz w:val="24"/>
                <w:szCs w:val="24"/>
              </w:rPr>
              <w:t>1.大纲解析</w:t>
            </w:r>
          </w:p>
        </w:tc>
        <w:tc>
          <w:tcPr>
            <w:tcW w:w="4268" w:type="dxa"/>
            <w:vAlign w:val="center"/>
          </w:tcPr>
          <w:p>
            <w:pPr>
              <w:ind w:left="35" w:firstLine="0" w:firstLineChars="0"/>
              <w:rPr>
                <w:sz w:val="24"/>
                <w:szCs w:val="24"/>
              </w:rPr>
            </w:pPr>
            <w:r>
              <w:rPr>
                <w:rFonts w:hint="eastAsia"/>
                <w:sz w:val="24"/>
                <w:szCs w:val="24"/>
              </w:rPr>
              <w:t>根据培训大纲按照适用对象、科目制定大纲知识点。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965" w:type="dxa"/>
            <w:vMerge w:val="continue"/>
            <w:vAlign w:val="center"/>
          </w:tcPr>
          <w:p>
            <w:pPr>
              <w:ind w:firstLine="0" w:firstLineChars="0"/>
              <w:rPr>
                <w:sz w:val="24"/>
                <w:szCs w:val="24"/>
              </w:rPr>
            </w:pPr>
          </w:p>
        </w:tc>
        <w:tc>
          <w:tcPr>
            <w:tcW w:w="1207" w:type="dxa"/>
            <w:vMerge w:val="continue"/>
            <w:vAlign w:val="center"/>
          </w:tcPr>
          <w:p>
            <w:pPr>
              <w:ind w:firstLine="0" w:firstLineChars="0"/>
              <w:jc w:val="center"/>
              <w:rPr>
                <w:sz w:val="24"/>
                <w:szCs w:val="24"/>
              </w:rPr>
            </w:pPr>
          </w:p>
        </w:tc>
        <w:tc>
          <w:tcPr>
            <w:tcW w:w="1885" w:type="dxa"/>
            <w:vAlign w:val="center"/>
          </w:tcPr>
          <w:p>
            <w:pPr>
              <w:ind w:firstLine="0" w:firstLineChars="0"/>
              <w:rPr>
                <w:sz w:val="24"/>
                <w:szCs w:val="24"/>
              </w:rPr>
            </w:pPr>
            <w:r>
              <w:rPr>
                <w:rFonts w:hint="eastAsia"/>
                <w:sz w:val="24"/>
                <w:szCs w:val="24"/>
              </w:rPr>
              <w:t>2.试题编写服务</w:t>
            </w:r>
          </w:p>
        </w:tc>
        <w:tc>
          <w:tcPr>
            <w:tcW w:w="4268" w:type="dxa"/>
            <w:vAlign w:val="center"/>
          </w:tcPr>
          <w:p>
            <w:pPr>
              <w:ind w:left="35" w:firstLine="0" w:firstLineChars="0"/>
              <w:rPr>
                <w:sz w:val="24"/>
                <w:szCs w:val="24"/>
              </w:rPr>
            </w:pPr>
            <w:r>
              <w:rPr>
                <w:rFonts w:hint="eastAsia"/>
                <w:sz w:val="24"/>
                <w:szCs w:val="24"/>
              </w:rPr>
              <w:t>编写适用海南</w:t>
            </w:r>
            <w:r>
              <w:rPr>
                <w:rFonts w:hint="eastAsia"/>
                <w:sz w:val="24"/>
                <w:szCs w:val="24"/>
                <w:lang w:eastAsia="zh-CN"/>
              </w:rPr>
              <w:t>自由贸易港</w:t>
            </w:r>
            <w:r>
              <w:rPr>
                <w:rFonts w:hint="eastAsia"/>
                <w:sz w:val="24"/>
                <w:szCs w:val="24"/>
              </w:rPr>
              <w:t>船员考试的英文试题</w:t>
            </w:r>
            <w:r>
              <w:rPr>
                <w:rFonts w:hint="eastAsia"/>
                <w:sz w:val="24"/>
                <w:szCs w:val="24"/>
                <w:lang w:eastAsia="zh-CN"/>
              </w:rPr>
              <w:t>。</w:t>
            </w:r>
            <w:r>
              <w:rPr>
                <w:rFonts w:hint="eastAsia"/>
                <w:sz w:val="24"/>
                <w:szCs w:val="24"/>
              </w:rPr>
              <w:t>主要科目包括海船值班水手、值班机工、基本安全培训合格证、客船船员特殊培训合格证、保安意识培训合格证等。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65" w:type="dxa"/>
            <w:vMerge w:val="continue"/>
            <w:vAlign w:val="center"/>
          </w:tcPr>
          <w:p>
            <w:pPr>
              <w:ind w:left="29" w:firstLine="0" w:firstLineChars="0"/>
              <w:rPr>
                <w:sz w:val="24"/>
                <w:szCs w:val="24"/>
              </w:rPr>
            </w:pPr>
          </w:p>
        </w:tc>
        <w:tc>
          <w:tcPr>
            <w:tcW w:w="1207" w:type="dxa"/>
            <w:vMerge w:val="continue"/>
            <w:vAlign w:val="center"/>
          </w:tcPr>
          <w:p>
            <w:pPr>
              <w:ind w:firstLine="0" w:firstLineChars="0"/>
              <w:jc w:val="center"/>
              <w:rPr>
                <w:sz w:val="24"/>
                <w:szCs w:val="24"/>
              </w:rPr>
            </w:pPr>
          </w:p>
        </w:tc>
        <w:tc>
          <w:tcPr>
            <w:tcW w:w="1885" w:type="dxa"/>
            <w:vAlign w:val="center"/>
          </w:tcPr>
          <w:p>
            <w:pPr>
              <w:ind w:firstLine="0" w:firstLineChars="0"/>
              <w:rPr>
                <w:sz w:val="24"/>
                <w:szCs w:val="24"/>
              </w:rPr>
            </w:pPr>
            <w:r>
              <w:rPr>
                <w:rFonts w:hint="eastAsia"/>
                <w:sz w:val="24"/>
                <w:szCs w:val="24"/>
              </w:rPr>
              <w:t>3.试题审定服务</w:t>
            </w:r>
          </w:p>
        </w:tc>
        <w:tc>
          <w:tcPr>
            <w:tcW w:w="4268" w:type="dxa"/>
            <w:vAlign w:val="center"/>
          </w:tcPr>
          <w:p>
            <w:pPr>
              <w:ind w:left="35" w:firstLine="0" w:firstLineChars="0"/>
              <w:rPr>
                <w:sz w:val="24"/>
                <w:szCs w:val="24"/>
              </w:rPr>
            </w:pPr>
            <w:r>
              <w:rPr>
                <w:rFonts w:hint="eastAsia"/>
                <w:sz w:val="24"/>
                <w:szCs w:val="24"/>
              </w:rPr>
              <w:t>组织专家进行审定，确定试题是否可以入库。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65" w:type="dxa"/>
            <w:vMerge w:val="continue"/>
            <w:vAlign w:val="center"/>
          </w:tcPr>
          <w:p>
            <w:pPr>
              <w:ind w:left="29" w:firstLine="0" w:firstLineChars="0"/>
              <w:rPr>
                <w:sz w:val="24"/>
                <w:szCs w:val="24"/>
              </w:rPr>
            </w:pPr>
          </w:p>
        </w:tc>
        <w:tc>
          <w:tcPr>
            <w:tcW w:w="1207" w:type="dxa"/>
            <w:vMerge w:val="continue"/>
            <w:vAlign w:val="center"/>
          </w:tcPr>
          <w:p>
            <w:pPr>
              <w:ind w:firstLine="0" w:firstLineChars="0"/>
              <w:jc w:val="center"/>
              <w:rPr>
                <w:sz w:val="24"/>
                <w:szCs w:val="24"/>
              </w:rPr>
            </w:pPr>
          </w:p>
        </w:tc>
        <w:tc>
          <w:tcPr>
            <w:tcW w:w="1885" w:type="dxa"/>
            <w:vAlign w:val="center"/>
          </w:tcPr>
          <w:p>
            <w:pPr>
              <w:ind w:firstLine="0" w:firstLineChars="0"/>
              <w:rPr>
                <w:sz w:val="24"/>
                <w:szCs w:val="24"/>
              </w:rPr>
            </w:pPr>
            <w:r>
              <w:rPr>
                <w:rFonts w:hint="eastAsia"/>
                <w:sz w:val="24"/>
                <w:szCs w:val="24"/>
              </w:rPr>
              <w:t>4.试题入库整理</w:t>
            </w:r>
          </w:p>
        </w:tc>
        <w:tc>
          <w:tcPr>
            <w:tcW w:w="4268" w:type="dxa"/>
            <w:vAlign w:val="center"/>
          </w:tcPr>
          <w:p>
            <w:pPr>
              <w:ind w:left="35" w:firstLine="0" w:firstLineChars="0"/>
              <w:rPr>
                <w:sz w:val="24"/>
                <w:szCs w:val="24"/>
              </w:rPr>
            </w:pPr>
            <w:r>
              <w:rPr>
                <w:rFonts w:hint="eastAsia"/>
                <w:sz w:val="24"/>
                <w:szCs w:val="24"/>
              </w:rPr>
              <w:t>根据专家意见对试题进行整理并导入考试组卷系统</w:t>
            </w:r>
            <w:r>
              <w:rPr>
                <w:rFonts w:hint="eastAsia"/>
                <w:sz w:val="24"/>
                <w:szCs w:val="24"/>
                <w:lang w:eastAsia="zh-CN"/>
              </w:rPr>
              <w:t>，入库试题总量不少于</w:t>
            </w:r>
            <w:r>
              <w:rPr>
                <w:rFonts w:hint="eastAsia"/>
                <w:sz w:val="24"/>
                <w:szCs w:val="24"/>
                <w:lang w:val="en-US" w:eastAsia="zh-CN"/>
              </w:rPr>
              <w:t>5000道试题</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965" w:type="dxa"/>
            <w:vAlign w:val="center"/>
          </w:tcPr>
          <w:p>
            <w:pPr>
              <w:ind w:left="449" w:firstLine="0" w:firstLineChars="0"/>
              <w:rPr>
                <w:sz w:val="24"/>
                <w:szCs w:val="24"/>
              </w:rPr>
            </w:pPr>
            <w:r>
              <w:rPr>
                <w:rFonts w:hint="eastAsia"/>
                <w:sz w:val="24"/>
                <w:szCs w:val="24"/>
              </w:rPr>
              <w:t>2</w:t>
            </w:r>
          </w:p>
        </w:tc>
        <w:tc>
          <w:tcPr>
            <w:tcW w:w="1207" w:type="dxa"/>
            <w:vAlign w:val="center"/>
          </w:tcPr>
          <w:p>
            <w:pPr>
              <w:ind w:firstLine="0" w:firstLineChars="0"/>
              <w:jc w:val="center"/>
              <w:rPr>
                <w:sz w:val="24"/>
                <w:szCs w:val="24"/>
              </w:rPr>
            </w:pPr>
            <w:r>
              <w:rPr>
                <w:rFonts w:hint="eastAsia"/>
                <w:sz w:val="24"/>
                <w:szCs w:val="24"/>
              </w:rPr>
              <w:t>考试软件改造开发和维护</w:t>
            </w:r>
          </w:p>
        </w:tc>
        <w:tc>
          <w:tcPr>
            <w:tcW w:w="1885" w:type="dxa"/>
            <w:vAlign w:val="center"/>
          </w:tcPr>
          <w:p>
            <w:pPr>
              <w:ind w:firstLine="0" w:firstLineChars="0"/>
              <w:rPr>
                <w:sz w:val="24"/>
                <w:szCs w:val="24"/>
              </w:rPr>
            </w:pPr>
            <w:r>
              <w:rPr>
                <w:rFonts w:hint="eastAsia"/>
                <w:sz w:val="24"/>
                <w:szCs w:val="24"/>
              </w:rPr>
              <w:t>考试软件改造开发和维护</w:t>
            </w:r>
          </w:p>
        </w:tc>
        <w:tc>
          <w:tcPr>
            <w:tcW w:w="4268" w:type="dxa"/>
            <w:vAlign w:val="center"/>
          </w:tcPr>
          <w:p>
            <w:pPr>
              <w:ind w:left="35" w:firstLine="0" w:firstLineChars="0"/>
              <w:rPr>
                <w:sz w:val="24"/>
                <w:szCs w:val="24"/>
              </w:rPr>
            </w:pPr>
            <w:r>
              <w:rPr>
                <w:rFonts w:hint="eastAsia"/>
                <w:sz w:val="24"/>
                <w:szCs w:val="24"/>
              </w:rPr>
              <w:t>为了确保考试相关系统间的衔接顺畅，以及考试组织工作的顺利、稳定开展，本项目所需的考试系统主要是针对现有考试系统进行改造开发和维护，包括组卷系统、考务管理系统、考试终端系统等。</w:t>
            </w:r>
          </w:p>
        </w:tc>
      </w:tr>
    </w:tbl>
    <w:p>
      <w:pPr>
        <w:ind w:left="560" w:firstLine="0" w:firstLineChars="0"/>
      </w:pPr>
    </w:p>
    <w:p>
      <w:pPr>
        <w:pStyle w:val="4"/>
        <w:ind w:firstLine="880"/>
        <w:rPr>
          <w:rFonts w:eastAsia="宋体"/>
        </w:rPr>
      </w:pPr>
      <w:bookmarkStart w:id="54" w:name="_Toc12508"/>
      <w:r>
        <w:rPr>
          <w:rFonts w:hint="eastAsia" w:eastAsia="宋体"/>
        </w:rPr>
        <w:t>二、 服务需求</w:t>
      </w:r>
      <w:bookmarkEnd w:id="52"/>
      <w:bookmarkEnd w:id="53"/>
      <w:bookmarkEnd w:id="54"/>
    </w:p>
    <w:p>
      <w:pPr>
        <w:pStyle w:val="5"/>
        <w:ind w:firstLine="723"/>
      </w:pPr>
      <w:bookmarkStart w:id="55" w:name="_Toc1195"/>
      <w:bookmarkStart w:id="56" w:name="_Toc426949491"/>
      <w:r>
        <w:rPr>
          <w:rFonts w:hint="eastAsia"/>
        </w:rPr>
        <w:t>1.</w:t>
      </w:r>
      <w:r>
        <w:t xml:space="preserve"> </w:t>
      </w:r>
      <w:r>
        <w:rPr>
          <w:rFonts w:hint="eastAsia"/>
        </w:rPr>
        <w:t>考试服务要求</w:t>
      </w:r>
      <w:bookmarkEnd w:id="55"/>
      <w:bookmarkEnd w:id="56"/>
    </w:p>
    <w:p>
      <w:pPr>
        <w:pStyle w:val="7"/>
        <w:ind w:firstLine="562"/>
        <w:rPr>
          <w:rFonts w:ascii="宋体" w:hAnsi="宋体"/>
        </w:rPr>
      </w:pPr>
      <w:r>
        <w:rPr>
          <w:rFonts w:hint="eastAsia" w:ascii="宋体" w:hAnsi="宋体"/>
        </w:rPr>
        <w:t>1.1</w:t>
      </w:r>
      <w:r>
        <w:rPr>
          <w:rFonts w:ascii="宋体" w:hAnsi="宋体"/>
        </w:rPr>
        <w:t xml:space="preserve"> </w:t>
      </w:r>
      <w:r>
        <w:rPr>
          <w:rFonts w:hint="eastAsia" w:ascii="宋体" w:hAnsi="宋体"/>
        </w:rPr>
        <w:t>整体要求</w:t>
      </w:r>
    </w:p>
    <w:p>
      <w:r>
        <w:t>建立与考试服务相适应的工作机制</w:t>
      </w:r>
      <w:r>
        <w:rPr>
          <w:rFonts w:hint="eastAsia"/>
        </w:rPr>
        <w:t>，提供满足考试需要的服务内容，具体要求如下：</w:t>
      </w:r>
    </w:p>
    <w:p>
      <w:r>
        <w:rPr>
          <w:rFonts w:hint="eastAsia"/>
        </w:rPr>
        <w:t>1）遵循考试相关规范：考试题库维护需要完全按照培训大纲的要求，保证所有内容有出处，有依据，保证试题的专业性、适用性、实践性，能否真正考核船员的实际素质。</w:t>
      </w:r>
    </w:p>
    <w:p>
      <w:r>
        <w:t>2</w:t>
      </w:r>
      <w:r>
        <w:rPr>
          <w:rFonts w:hint="eastAsia"/>
        </w:rPr>
        <w:t>）建立完善的技术服务保障体系：整个服务体系必须以保障考试业务系统的正常运行为中心，快速响应业务用户请求，及时回应、解决操作过程中以及系统运行过程中所出现的问题，确保保证系统的正常运行；</w:t>
      </w:r>
    </w:p>
    <w:p>
      <w:r>
        <w:t>3</w:t>
      </w:r>
      <w:r>
        <w:rPr>
          <w:rFonts w:hint="eastAsia"/>
        </w:rPr>
        <w:t>）具备高效的考试管理渠道和应急措施、保障能力：能按照计划与方案开展相关考试工作，在过程中能够有效控制各种风险，对于考试服务过程与结果应向采购方进行报告和反馈等；</w:t>
      </w:r>
    </w:p>
    <w:p>
      <w:r>
        <w:t>4</w:t>
      </w:r>
      <w:r>
        <w:rPr>
          <w:rFonts w:hint="eastAsia"/>
        </w:rPr>
        <w:t>）</w:t>
      </w:r>
      <w:r>
        <w:t>保证考试业务的全面覆盖</w:t>
      </w:r>
      <w:r>
        <w:rPr>
          <w:rFonts w:hint="eastAsia"/>
        </w:rPr>
        <w:t>，</w:t>
      </w:r>
      <w:r>
        <w:t>服务内容和服务能力满足外国籍船员考试总体需要</w:t>
      </w:r>
      <w:r>
        <w:rPr>
          <w:rFonts w:hint="eastAsia"/>
        </w:rPr>
        <w:t>，</w:t>
      </w:r>
      <w:r>
        <w:t>保证考试顺利开展</w:t>
      </w:r>
      <w:r>
        <w:rPr>
          <w:rFonts w:hint="eastAsia"/>
        </w:rPr>
        <w:t>；</w:t>
      </w:r>
    </w:p>
    <w:p>
      <w:r>
        <w:t>5</w:t>
      </w:r>
      <w:r>
        <w:rPr>
          <w:rFonts w:hint="eastAsia"/>
        </w:rPr>
        <w:t>）参与考试工作的人员要严格遵守采购方的各项管理规章制度，有责任保护外国籍船员考试系统的数据资料安全。</w:t>
      </w:r>
    </w:p>
    <w:p>
      <w:r>
        <w:rPr>
          <w:rFonts w:hint="eastAsia"/>
        </w:rPr>
        <w:t>供应商应当充分保证以上要求从而使工程建设保质、按期、高效、节约地完成。</w:t>
      </w:r>
    </w:p>
    <w:p>
      <w:pPr>
        <w:pStyle w:val="7"/>
        <w:ind w:firstLine="562"/>
        <w:rPr>
          <w:rFonts w:ascii="宋体" w:hAnsi="宋体"/>
        </w:rPr>
      </w:pPr>
      <w:r>
        <w:rPr>
          <w:rFonts w:hint="eastAsia" w:ascii="宋体" w:hAnsi="宋体"/>
        </w:rPr>
        <w:t>1.2服务范围</w:t>
      </w:r>
    </w:p>
    <w:p>
      <w:pPr>
        <w:spacing w:line="324" w:lineRule="auto"/>
        <w:rPr>
          <w:rFonts w:cs="仿宋"/>
        </w:rPr>
      </w:pPr>
      <w:bookmarkStart w:id="57" w:name="_Toc426949492"/>
      <w:r>
        <w:rPr>
          <w:rFonts w:cs="仿宋"/>
        </w:rPr>
        <w:t>服务对象</w:t>
      </w:r>
      <w:r>
        <w:rPr>
          <w:rFonts w:hint="eastAsia" w:cs="仿宋"/>
        </w:rPr>
        <w:t>为海南海事局。</w:t>
      </w:r>
    </w:p>
    <w:p>
      <w:pPr>
        <w:spacing w:line="324" w:lineRule="auto"/>
        <w:rPr>
          <w:rFonts w:cs="仿宋"/>
        </w:rPr>
      </w:pPr>
      <w:r>
        <w:rPr>
          <w:rFonts w:hint="eastAsia" w:cs="仿宋"/>
        </w:rPr>
        <w:t>专业科目包括以下内容：海船适任考试、合格证考试。</w:t>
      </w:r>
    </w:p>
    <w:p>
      <w:pPr>
        <w:spacing w:line="324" w:lineRule="auto"/>
        <w:rPr>
          <w:rFonts w:cs="仿宋"/>
        </w:rPr>
      </w:pPr>
      <w:r>
        <w:rPr>
          <w:rFonts w:cs="仿宋"/>
        </w:rPr>
        <w:t>考试系统包括以下内容</w:t>
      </w:r>
      <w:r>
        <w:rPr>
          <w:rFonts w:hint="eastAsia" w:cs="仿宋"/>
        </w:rPr>
        <w:t>：</w:t>
      </w:r>
      <w:r>
        <w:rPr>
          <w:rFonts w:cs="仿宋"/>
        </w:rPr>
        <w:t>考务系统</w:t>
      </w:r>
      <w:r>
        <w:rPr>
          <w:rFonts w:hint="eastAsia" w:cs="仿宋"/>
        </w:rPr>
        <w:t>、</w:t>
      </w:r>
      <w:r>
        <w:rPr>
          <w:rFonts w:cs="仿宋"/>
        </w:rPr>
        <w:t>组卷系统</w:t>
      </w:r>
      <w:r>
        <w:rPr>
          <w:rFonts w:hint="eastAsia" w:cs="仿宋"/>
        </w:rPr>
        <w:t>、终端考试系统等系统开发和维护，</w:t>
      </w:r>
      <w:r>
        <w:rPr>
          <w:rFonts w:hint="eastAsia"/>
        </w:rPr>
        <w:t>主要包括值班水手、值班机工、基本安全培训合格证、客船船员特殊培训合格证、保安意识培训合格证等。</w:t>
      </w:r>
    </w:p>
    <w:p>
      <w:pPr>
        <w:pStyle w:val="5"/>
        <w:ind w:firstLine="723"/>
      </w:pPr>
      <w:bookmarkStart w:id="58" w:name="_Toc1098"/>
      <w:r>
        <w:rPr>
          <w:rFonts w:hint="eastAsia"/>
        </w:rPr>
        <w:t>2.</w:t>
      </w:r>
      <w:r>
        <w:t xml:space="preserve"> </w:t>
      </w:r>
      <w:r>
        <w:rPr>
          <w:rFonts w:hint="eastAsia"/>
        </w:rPr>
        <w:t>考试服务规范</w:t>
      </w:r>
      <w:bookmarkEnd w:id="57"/>
      <w:bookmarkEnd w:id="58"/>
    </w:p>
    <w:p>
      <w:bookmarkStart w:id="59" w:name="_Toc426949493"/>
      <w:r>
        <w:rPr>
          <w:rFonts w:hint="eastAsia"/>
        </w:rPr>
        <w:t>1）</w:t>
      </w:r>
      <w:r>
        <w:t>供应商应当在考试服务执行过程中</w:t>
      </w:r>
      <w:r>
        <w:rPr>
          <w:rFonts w:hint="eastAsia"/>
        </w:rPr>
        <w:t>，</w:t>
      </w:r>
      <w:r>
        <w:t>实时满足考试服务的需要</w:t>
      </w:r>
      <w:r>
        <w:rPr>
          <w:rFonts w:hint="eastAsia"/>
        </w:rPr>
        <w:t>。</w:t>
      </w:r>
    </w:p>
    <w:p>
      <w:r>
        <w:t>2</w:t>
      </w:r>
      <w:r>
        <w:rPr>
          <w:rFonts w:hint="eastAsia"/>
        </w:rPr>
        <w:t>）供应商在考试服务执行过程中，须对项目进行规范化管理，要有项目管理组织、项目管理计划、项目人员安排及职责分工、项目总结等方案，确保服务质量。</w:t>
      </w:r>
    </w:p>
    <w:p>
      <w:r>
        <w:t>3</w:t>
      </w:r>
      <w:r>
        <w:rPr>
          <w:rFonts w:hint="eastAsia"/>
        </w:rPr>
        <w:t>）供应商须对提供的所有考试服务和技术支持工作负责。在履行合同的全过程中严格执行合同中有关技术、商务条款。</w:t>
      </w:r>
    </w:p>
    <w:p>
      <w:r>
        <w:t>4</w:t>
      </w:r>
      <w:r>
        <w:rPr>
          <w:rFonts w:hint="eastAsia"/>
        </w:rPr>
        <w:t>）供应商须成立独立的项目小组，向采购方提出项目小组组织结构，并指定专职的项目经理，听从采购方的工作协调和管理调度工作，中途不得随意变更。</w:t>
      </w:r>
    </w:p>
    <w:p>
      <w:r>
        <w:t>5</w:t>
      </w:r>
      <w:r>
        <w:rPr>
          <w:rFonts w:hint="eastAsia"/>
        </w:rPr>
        <w:t>）供应商须建立完善的技术专家支撑体系，对项目执行过程中出现的疑难问题提供多方全面的专业和技术支撑。</w:t>
      </w:r>
    </w:p>
    <w:p>
      <w:r>
        <w:t>6</w:t>
      </w:r>
      <w:r>
        <w:rPr>
          <w:rFonts w:hint="eastAsia"/>
        </w:rPr>
        <w:t>）供应商须严格遵守有关法律法规和政府内部规章制度，不得擅自翻阅、复制、传播所接触的资料和数据。</w:t>
      </w:r>
    </w:p>
    <w:p>
      <w:pPr>
        <w:pStyle w:val="5"/>
        <w:ind w:firstLine="723"/>
      </w:pPr>
      <w:bookmarkStart w:id="60" w:name="_Toc6777"/>
      <w:r>
        <w:rPr>
          <w:rFonts w:hint="eastAsia"/>
        </w:rPr>
        <w:t>3.</w:t>
      </w:r>
      <w:r>
        <w:t xml:space="preserve"> </w:t>
      </w:r>
      <w:r>
        <w:rPr>
          <w:rFonts w:hint="eastAsia"/>
        </w:rPr>
        <w:t>服务期限</w:t>
      </w:r>
      <w:bookmarkEnd w:id="59"/>
      <w:bookmarkEnd w:id="60"/>
    </w:p>
    <w:p>
      <w:pPr>
        <w:rPr>
          <w:sz w:val="21"/>
          <w:highlight w:val="yellow"/>
        </w:rPr>
      </w:pPr>
      <w:bookmarkStart w:id="61" w:name="_Toc426949494"/>
      <w:r>
        <w:rPr>
          <w:rFonts w:hint="eastAsia"/>
        </w:rPr>
        <w:t>海南自由贸易港船员考试英文题库建设的期限</w:t>
      </w:r>
      <w:r>
        <w:rPr>
          <w:rFonts w:hint="eastAsia"/>
          <w:highlight w:val="none"/>
        </w:rPr>
        <w:t>：</w:t>
      </w:r>
      <w:r>
        <w:rPr>
          <w:rFonts w:hint="eastAsia"/>
        </w:rPr>
        <w:t>合同签订之日起一年期</w:t>
      </w:r>
      <w:r>
        <w:rPr>
          <w:rFonts w:hint="eastAsia"/>
          <w:highlight w:val="none"/>
        </w:rPr>
        <w:t>。</w:t>
      </w:r>
    </w:p>
    <w:p>
      <w:pPr>
        <w:pStyle w:val="5"/>
        <w:ind w:firstLine="723"/>
      </w:pPr>
      <w:bookmarkStart w:id="62" w:name="_Toc17975"/>
      <w:r>
        <w:rPr>
          <w:rFonts w:hint="eastAsia"/>
        </w:rPr>
        <w:t>4.</w:t>
      </w:r>
      <w:r>
        <w:t xml:space="preserve"> </w:t>
      </w:r>
      <w:r>
        <w:rPr>
          <w:rFonts w:hint="eastAsia"/>
        </w:rPr>
        <w:t>供应商的责任</w:t>
      </w:r>
      <w:bookmarkEnd w:id="61"/>
      <w:bookmarkEnd w:id="62"/>
    </w:p>
    <w:p>
      <w:r>
        <w:rPr>
          <w:rFonts w:hint="eastAsia"/>
        </w:rPr>
        <w:t>4.1供应商作为海南自由贸易港船员考试英文题库建设服务方，有责任为采购方提供项目顾问咨询意见，有义务完成采购方在合同所提出的目标，保障项目要求的各项工作内容顺利完成。</w:t>
      </w:r>
    </w:p>
    <w:p>
      <w:r>
        <w:rPr>
          <w:rFonts w:hint="eastAsia"/>
        </w:rPr>
        <w:t>4.2供应商未征得采购方同意，不得泄露与本项目有关的资料。</w:t>
      </w:r>
    </w:p>
    <w:p>
      <w:r>
        <w:rPr>
          <w:rFonts w:hint="eastAsia"/>
        </w:rPr>
        <w:t>4.3由于供应商在工程实施中不符合相关考试规范要求和不能满足质量、数量要求，采购方可要监督供应商整改。如供应商人员工作不力，可提出调换有关人员。</w:t>
      </w:r>
    </w:p>
    <w:p>
      <w:r>
        <w:rPr>
          <w:rFonts w:hint="eastAsia"/>
        </w:rPr>
        <w:t>4.5供应商在合同中要求的采购设施设备和物品属采购方所有，在考试服务工作验收完成或终止时，设施设备和剩余物品应根据采购方的要求移交给采购方。</w:t>
      </w:r>
    </w:p>
    <w:p>
      <w:pPr>
        <w:pStyle w:val="5"/>
        <w:ind w:firstLine="723"/>
      </w:pPr>
      <w:bookmarkStart w:id="63" w:name="_Toc12239"/>
      <w:bookmarkStart w:id="64" w:name="_Toc426949495"/>
      <w:r>
        <w:rPr>
          <w:rFonts w:hint="eastAsia"/>
        </w:rPr>
        <w:t>5.</w:t>
      </w:r>
      <w:r>
        <w:t xml:space="preserve"> </w:t>
      </w:r>
      <w:r>
        <w:rPr>
          <w:rFonts w:hint="eastAsia"/>
        </w:rPr>
        <w:t>服务质量要求</w:t>
      </w:r>
      <w:bookmarkEnd w:id="63"/>
      <w:bookmarkEnd w:id="64"/>
    </w:p>
    <w:p>
      <w:r>
        <w:rPr>
          <w:rFonts w:hint="eastAsia"/>
        </w:rPr>
        <w:t>5.1供应商应在海南自由贸易港船员考试英文题库建设合同约定的职责范围内做好考试服务工作，保障外国籍船员考试工作能够按质按量、高效及时的完成。</w:t>
      </w:r>
    </w:p>
    <w:p>
      <w:r>
        <w:rPr>
          <w:rFonts w:hint="eastAsia"/>
        </w:rPr>
        <w:t>5.2供应商应根据船员管理质量管理体系的要求，健全管理制度，确保供应商自身的有效组织和管理。</w:t>
      </w:r>
    </w:p>
    <w:p>
      <w:pPr>
        <w:pStyle w:val="5"/>
        <w:ind w:firstLine="723"/>
      </w:pPr>
      <w:bookmarkStart w:id="65" w:name="_Toc17793"/>
      <w:bookmarkStart w:id="66" w:name="_Toc426949496"/>
      <w:r>
        <w:rPr>
          <w:rFonts w:hint="eastAsia"/>
        </w:rPr>
        <w:t>6.</w:t>
      </w:r>
      <w:r>
        <w:t xml:space="preserve"> </w:t>
      </w:r>
      <w:r>
        <w:rPr>
          <w:rFonts w:hint="eastAsia"/>
        </w:rPr>
        <w:t>服务实施要求</w:t>
      </w:r>
      <w:bookmarkEnd w:id="65"/>
      <w:bookmarkEnd w:id="66"/>
    </w:p>
    <w:p>
      <w:pPr>
        <w:pStyle w:val="7"/>
        <w:ind w:firstLine="562"/>
        <w:rPr>
          <w:rFonts w:ascii="宋体" w:hAnsi="宋体"/>
        </w:rPr>
      </w:pPr>
      <w:bookmarkStart w:id="67" w:name="_Toc426949497"/>
      <w:r>
        <w:rPr>
          <w:rFonts w:ascii="宋体" w:hAnsi="宋体"/>
        </w:rPr>
        <w:t xml:space="preserve">6.1 </w:t>
      </w:r>
      <w:r>
        <w:rPr>
          <w:rFonts w:hint="eastAsia" w:ascii="宋体" w:hAnsi="宋体"/>
        </w:rPr>
        <w:t>项目</w:t>
      </w:r>
      <w:r>
        <w:rPr>
          <w:rFonts w:ascii="宋体" w:hAnsi="宋体"/>
        </w:rPr>
        <w:t>人员要求</w:t>
      </w:r>
      <w:bookmarkEnd w:id="67"/>
    </w:p>
    <w:p>
      <w:bookmarkStart w:id="68" w:name="_Toc426949498"/>
      <w:r>
        <w:rPr>
          <w:rFonts w:hint="eastAsia"/>
        </w:rPr>
        <w:t>供应商应针对本项目成立专职考试服务团队，专职考试服务团队中必须具有项目经理和专职考试服务技术人员，且具有相应专业经验和资历，其中负责考试题库管理</w:t>
      </w:r>
      <w:r>
        <w:t>人员</w:t>
      </w:r>
      <w:r>
        <w:rPr>
          <w:rFonts w:hint="eastAsia"/>
        </w:rPr>
        <w:t>还应</w:t>
      </w:r>
      <w:r>
        <w:t>具备管理级或操作级船员服务资历和长期从事考试服务工作经验，具有独立应对外国籍船员考试科目</w:t>
      </w:r>
      <w:r>
        <w:rPr>
          <w:rFonts w:hint="eastAsia"/>
        </w:rPr>
        <w:t>，</w:t>
      </w:r>
      <w:r>
        <w:t>处理考试出现的应急状况的能力。</w:t>
      </w:r>
    </w:p>
    <w:p>
      <w:r>
        <w:rPr>
          <w:rFonts w:hint="eastAsia"/>
        </w:rPr>
        <w:t>专职考试服务团队人员资格要求必须满足下表</w:t>
      </w:r>
    </w:p>
    <w:p/>
    <w:tbl>
      <w:tblPr>
        <w:tblStyle w:val="3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696"/>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 w:type="dxa"/>
            <w:vAlign w:val="center"/>
          </w:tcPr>
          <w:p>
            <w:pPr>
              <w:ind w:firstLine="0" w:firstLineChars="0"/>
              <w:jc w:val="center"/>
              <w:rPr>
                <w:b/>
                <w:bCs/>
                <w:sz w:val="24"/>
                <w:szCs w:val="24"/>
              </w:rPr>
            </w:pPr>
            <w:r>
              <w:rPr>
                <w:rFonts w:hint="eastAsia"/>
                <w:b/>
                <w:bCs/>
                <w:sz w:val="24"/>
                <w:szCs w:val="24"/>
              </w:rPr>
              <w:t>序号</w:t>
            </w:r>
          </w:p>
        </w:tc>
        <w:tc>
          <w:tcPr>
            <w:tcW w:w="2696" w:type="dxa"/>
            <w:vAlign w:val="center"/>
          </w:tcPr>
          <w:p>
            <w:pPr>
              <w:ind w:firstLine="0" w:firstLineChars="0"/>
              <w:jc w:val="center"/>
              <w:rPr>
                <w:b/>
                <w:bCs/>
                <w:sz w:val="24"/>
                <w:szCs w:val="24"/>
              </w:rPr>
            </w:pPr>
            <w:r>
              <w:rPr>
                <w:rFonts w:hint="eastAsia"/>
                <w:b/>
                <w:bCs/>
                <w:sz w:val="24"/>
                <w:szCs w:val="24"/>
              </w:rPr>
              <w:t>职务</w:t>
            </w:r>
          </w:p>
        </w:tc>
        <w:tc>
          <w:tcPr>
            <w:tcW w:w="5175" w:type="dxa"/>
            <w:vAlign w:val="center"/>
          </w:tcPr>
          <w:p>
            <w:pPr>
              <w:ind w:firstLine="0" w:firstLineChars="0"/>
              <w:jc w:val="center"/>
              <w:rPr>
                <w:b/>
                <w:bCs/>
                <w:sz w:val="24"/>
                <w:szCs w:val="24"/>
              </w:rPr>
            </w:pPr>
            <w:r>
              <w:rPr>
                <w:rFonts w:hint="eastAsia"/>
                <w:b/>
                <w:bCs/>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ind w:firstLine="0" w:firstLineChars="0"/>
              <w:jc w:val="center"/>
              <w:rPr>
                <w:sz w:val="24"/>
                <w:szCs w:val="24"/>
              </w:rPr>
            </w:pPr>
            <w:r>
              <w:rPr>
                <w:rFonts w:hint="eastAsia"/>
                <w:sz w:val="24"/>
                <w:szCs w:val="24"/>
              </w:rPr>
              <w:t>1</w:t>
            </w:r>
          </w:p>
        </w:tc>
        <w:tc>
          <w:tcPr>
            <w:tcW w:w="2696" w:type="dxa"/>
            <w:vAlign w:val="center"/>
          </w:tcPr>
          <w:p>
            <w:pPr>
              <w:ind w:firstLine="0" w:firstLineChars="0"/>
              <w:rPr>
                <w:sz w:val="24"/>
                <w:szCs w:val="24"/>
              </w:rPr>
            </w:pPr>
            <w:r>
              <w:rPr>
                <w:rFonts w:hint="eastAsia"/>
                <w:sz w:val="24"/>
                <w:szCs w:val="24"/>
              </w:rPr>
              <w:t>项目经理</w:t>
            </w:r>
          </w:p>
        </w:tc>
        <w:tc>
          <w:tcPr>
            <w:tcW w:w="5175" w:type="dxa"/>
            <w:vAlign w:val="center"/>
          </w:tcPr>
          <w:p>
            <w:pPr>
              <w:ind w:firstLine="0" w:firstLineChars="0"/>
              <w:rPr>
                <w:sz w:val="24"/>
                <w:szCs w:val="24"/>
              </w:rPr>
            </w:pPr>
            <w:r>
              <w:rPr>
                <w:rFonts w:hint="eastAsia"/>
                <w:sz w:val="24"/>
                <w:szCs w:val="24"/>
              </w:rPr>
              <w:t>航海类专业实践经验和相关考试服务经验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vAlign w:val="center"/>
          </w:tcPr>
          <w:p>
            <w:pPr>
              <w:ind w:firstLine="0" w:firstLineChars="0"/>
              <w:jc w:val="center"/>
              <w:rPr>
                <w:sz w:val="24"/>
                <w:szCs w:val="24"/>
              </w:rPr>
            </w:pPr>
            <w:r>
              <w:rPr>
                <w:rFonts w:hint="eastAsia"/>
                <w:sz w:val="24"/>
                <w:szCs w:val="24"/>
              </w:rPr>
              <w:t>2</w:t>
            </w:r>
          </w:p>
        </w:tc>
        <w:tc>
          <w:tcPr>
            <w:tcW w:w="2696" w:type="dxa"/>
            <w:vAlign w:val="center"/>
          </w:tcPr>
          <w:p>
            <w:pPr>
              <w:ind w:firstLine="0" w:firstLineChars="0"/>
              <w:rPr>
                <w:sz w:val="24"/>
                <w:szCs w:val="24"/>
              </w:rPr>
            </w:pPr>
            <w:r>
              <w:rPr>
                <w:rFonts w:hint="eastAsia"/>
                <w:sz w:val="24"/>
                <w:szCs w:val="24"/>
              </w:rPr>
              <w:t>考试服务专业人员</w:t>
            </w:r>
          </w:p>
        </w:tc>
        <w:tc>
          <w:tcPr>
            <w:tcW w:w="5175" w:type="dxa"/>
            <w:vAlign w:val="center"/>
          </w:tcPr>
          <w:p>
            <w:pPr>
              <w:ind w:firstLine="0" w:firstLineChars="0"/>
              <w:rPr>
                <w:sz w:val="24"/>
                <w:szCs w:val="24"/>
              </w:rPr>
            </w:pPr>
            <w:r>
              <w:rPr>
                <w:rFonts w:hint="eastAsia"/>
                <w:sz w:val="24"/>
                <w:szCs w:val="24"/>
              </w:rPr>
              <w:t>航海类专业实践经验或考试服务相关工作经历</w:t>
            </w:r>
          </w:p>
        </w:tc>
      </w:tr>
    </w:tbl>
    <w:p/>
    <w:p>
      <w:r>
        <w:rPr>
          <w:rFonts w:hint="eastAsia"/>
        </w:rPr>
        <w:t>供应商须提供本项目的组织架构、人员组成及职责。具体要求如下：</w:t>
      </w:r>
    </w:p>
    <w:p>
      <w:r>
        <w:rPr>
          <w:rFonts w:hint="eastAsia"/>
        </w:rPr>
        <w:t>（1）供应商须提供本项目的详细组织架构图，人员组成及明确具体岗位职责；</w:t>
      </w:r>
    </w:p>
    <w:p>
      <w:r>
        <w:rPr>
          <w:rFonts w:hint="eastAsia"/>
        </w:rPr>
        <w:t>（2）供应商须提供专职考试服务技术人员人员名单、专业资历、职责安排等资料；</w:t>
      </w:r>
    </w:p>
    <w:p>
      <w:r>
        <w:rPr>
          <w:rFonts w:hint="eastAsia"/>
        </w:rPr>
        <w:t>（3）供应商须提供统一的考试服务热线号码；并提供投诉电话和指定项目负责人；</w:t>
      </w:r>
    </w:p>
    <w:p>
      <w:r>
        <w:rPr>
          <w:rFonts w:hint="eastAsia"/>
        </w:rPr>
        <w:t>（4）供应商不得随意更换服务人员，确需更换相关人员需取得采购方同意。</w:t>
      </w:r>
    </w:p>
    <w:p>
      <w:pPr>
        <w:pStyle w:val="7"/>
        <w:ind w:firstLine="562"/>
        <w:rPr>
          <w:rFonts w:ascii="宋体" w:hAnsi="宋体"/>
        </w:rPr>
      </w:pPr>
      <w:r>
        <w:rPr>
          <w:rFonts w:hint="eastAsia" w:ascii="宋体" w:hAnsi="宋体"/>
        </w:rPr>
        <w:t>6.2 项目过程要求</w:t>
      </w:r>
    </w:p>
    <w:p>
      <w:r>
        <w:t>本服务项目总体上体现了外国籍船员考试从考试的全过程</w:t>
      </w:r>
      <w:r>
        <w:rPr>
          <w:rFonts w:hint="eastAsia"/>
        </w:rPr>
        <w:t>，</w:t>
      </w:r>
      <w:r>
        <w:t>整个过程有各种成果物</w:t>
      </w:r>
      <w:r>
        <w:rPr>
          <w:rFonts w:hint="eastAsia"/>
        </w:rPr>
        <w:t>、</w:t>
      </w:r>
      <w:r>
        <w:t>流程记录</w:t>
      </w:r>
      <w:r>
        <w:rPr>
          <w:rFonts w:hint="eastAsia"/>
        </w:rPr>
        <w:t>、</w:t>
      </w:r>
      <w:r>
        <w:t>应急处理</w:t>
      </w:r>
      <w:r>
        <w:rPr>
          <w:rFonts w:hint="eastAsia"/>
        </w:rPr>
        <w:t>等内容，为了保证对整个过程的监督、控制，要求供应商提供整个考试服务过程的全记录，保证过程可查，内容成果可以交付、服务过程不断改进，以系统性、科学性、及时性保证考试过程无差错。供应商需要对考试过程中的各种内容及时反馈，以便于采购方决策参考。供应商还应当对考试过程中需要提醒采购方注意的问题，或对下一步外国籍船员考试可能造成的问题及时提示采购方，保障采购方对问题的预见性处理。</w:t>
      </w:r>
    </w:p>
    <w:bookmarkEnd w:id="68"/>
    <w:p>
      <w:pPr>
        <w:pStyle w:val="7"/>
        <w:ind w:firstLine="562"/>
        <w:rPr>
          <w:rFonts w:ascii="宋体" w:hAnsi="宋体"/>
        </w:rPr>
      </w:pPr>
      <w:bookmarkStart w:id="69" w:name="_Toc426949499"/>
      <w:r>
        <w:rPr>
          <w:rFonts w:ascii="宋体" w:hAnsi="宋体"/>
        </w:rPr>
        <w:t>6.3</w:t>
      </w:r>
      <w:r>
        <w:rPr>
          <w:rFonts w:hint="eastAsia" w:ascii="宋体" w:hAnsi="宋体"/>
        </w:rPr>
        <w:t xml:space="preserve"> 工作成果要求</w:t>
      </w:r>
    </w:p>
    <w:p>
      <w:r>
        <w:rPr>
          <w:rFonts w:hint="eastAsia"/>
        </w:rPr>
        <w:t>1）题库数量质量满足要求；</w:t>
      </w:r>
    </w:p>
    <w:p>
      <w:r>
        <w:rPr>
          <w:rFonts w:hint="eastAsia"/>
        </w:rPr>
        <w:t>2）考试过程安全、稳定、顺畅，应急处置及时；</w:t>
      </w:r>
    </w:p>
    <w:p>
      <w:r>
        <w:rPr>
          <w:rFonts w:hint="eastAsia"/>
        </w:rPr>
        <w:t>3）考试核心软件运行安全、流畅。</w:t>
      </w:r>
    </w:p>
    <w:p>
      <w:pPr>
        <w:pStyle w:val="5"/>
        <w:ind w:firstLine="723"/>
      </w:pPr>
      <w:bookmarkStart w:id="70" w:name="_Toc552"/>
      <w:r>
        <w:t>7</w:t>
      </w:r>
      <w:r>
        <w:rPr>
          <w:rFonts w:hint="eastAsia"/>
        </w:rPr>
        <w:t>.</w:t>
      </w:r>
      <w:r>
        <w:t xml:space="preserve"> </w:t>
      </w:r>
      <w:r>
        <w:rPr>
          <w:rFonts w:hint="eastAsia"/>
        </w:rPr>
        <w:t>验收与移交</w:t>
      </w:r>
      <w:bookmarkEnd w:id="69"/>
      <w:bookmarkEnd w:id="70"/>
    </w:p>
    <w:p>
      <w:r>
        <w:rPr>
          <w:rFonts w:hint="eastAsia"/>
        </w:rPr>
        <w:t>（1）在海南自由贸易港船员考试英文题库建设最终验收后，由采购方对本服务项目进行验收；</w:t>
      </w:r>
    </w:p>
    <w:p>
      <w:r>
        <w:rPr>
          <w:rFonts w:hint="eastAsia"/>
        </w:rPr>
        <w:t>（2）验收前，供应方应进行项目总结，整理各类技术、管理等文档，分册装订移交采购方。</w:t>
      </w:r>
    </w:p>
    <w:p>
      <w:pPr>
        <w:ind w:firstLine="0" w:firstLineChars="0"/>
      </w:pPr>
    </w:p>
    <w:p/>
    <w:p>
      <w:pPr>
        <w:pStyle w:val="3"/>
        <w:ind w:firstLine="0" w:firstLineChars="0"/>
        <w:jc w:val="center"/>
      </w:pPr>
      <w:bookmarkStart w:id="71" w:name="_Toc491149607"/>
      <w:r>
        <w:rPr>
          <w:bCs w:val="0"/>
        </w:rPr>
        <w:br w:type="page"/>
      </w:r>
      <w:bookmarkStart w:id="72" w:name="_Toc13164"/>
      <w:r>
        <w:rPr>
          <w:rFonts w:hint="eastAsia"/>
          <w:bCs w:val="0"/>
        </w:rPr>
        <w:t>第四章 竞</w:t>
      </w:r>
      <w:r>
        <w:rPr>
          <w:rFonts w:hint="eastAsia"/>
        </w:rPr>
        <w:t>标响应文件格式</w:t>
      </w:r>
      <w:bookmarkEnd w:id="71"/>
      <w:bookmarkEnd w:id="72"/>
    </w:p>
    <w:p>
      <w:pPr>
        <w:pStyle w:val="4"/>
        <w:ind w:firstLine="0" w:firstLineChars="0"/>
        <w:rPr>
          <w:rFonts w:eastAsia="宋体"/>
          <w:highlight w:val="none"/>
        </w:rPr>
      </w:pPr>
      <w:r>
        <w:rPr>
          <w:rFonts w:hint="eastAsia" w:eastAsia="宋体"/>
        </w:rPr>
        <w:br w:type="page"/>
      </w:r>
      <w:bookmarkStart w:id="73" w:name="_Toc491149608"/>
      <w:bookmarkStart w:id="74" w:name="_Toc2217"/>
      <w:r>
        <w:rPr>
          <w:rFonts w:hint="eastAsia" w:eastAsia="宋体"/>
        </w:rPr>
        <w:t>一</w:t>
      </w:r>
      <w:r>
        <w:rPr>
          <w:rFonts w:hint="eastAsia" w:eastAsia="宋体"/>
          <w:highlight w:val="none"/>
        </w:rPr>
        <w:t>、报</w:t>
      </w:r>
      <w:r>
        <w:rPr>
          <w:rFonts w:eastAsia="宋体"/>
          <w:highlight w:val="none"/>
        </w:rPr>
        <w:t xml:space="preserve"> </w:t>
      </w:r>
      <w:r>
        <w:rPr>
          <w:rFonts w:hint="eastAsia" w:eastAsia="宋体"/>
          <w:highlight w:val="none"/>
        </w:rPr>
        <w:t>价</w:t>
      </w:r>
      <w:r>
        <w:rPr>
          <w:rFonts w:eastAsia="宋体"/>
          <w:highlight w:val="none"/>
        </w:rPr>
        <w:t xml:space="preserve"> </w:t>
      </w:r>
      <w:r>
        <w:rPr>
          <w:rFonts w:hint="eastAsia" w:eastAsia="宋体"/>
          <w:highlight w:val="none"/>
        </w:rPr>
        <w:t>函</w:t>
      </w:r>
      <w:bookmarkEnd w:id="73"/>
      <w:bookmarkEnd w:id="74"/>
    </w:p>
    <w:p>
      <w:r>
        <w:rPr>
          <w:rFonts w:hint="eastAsia"/>
        </w:rPr>
        <w:t>致：****</w:t>
      </w:r>
    </w:p>
    <w:p>
      <w:pPr>
        <w:rPr>
          <w:u w:val="single"/>
        </w:rPr>
      </w:pPr>
      <w:r>
        <w:rPr>
          <w:rFonts w:hint="eastAsia"/>
        </w:rPr>
        <w:t>根据贵方的</w:t>
      </w:r>
      <w:r>
        <w:rPr>
          <w:rFonts w:hint="eastAsia"/>
          <w:u w:val="single"/>
        </w:rPr>
        <w:t xml:space="preserve">        </w:t>
      </w:r>
      <w:r>
        <w:rPr>
          <w:rFonts w:hint="eastAsia"/>
        </w:rPr>
        <w:t>项目公告，签字代表（姓名、职务）</w:t>
      </w:r>
      <w:r>
        <w:rPr>
          <w:rFonts w:hint="eastAsia"/>
          <w:u w:val="single"/>
        </w:rPr>
        <w:t xml:space="preserve">   </w:t>
      </w:r>
      <w:r>
        <w:rPr>
          <w:rFonts w:hint="eastAsia"/>
        </w:rPr>
        <w:t>经正式授权并代表我公司（单位名称）</w:t>
      </w:r>
      <w:r>
        <w:rPr>
          <w:rFonts w:hint="eastAsia"/>
          <w:u w:val="single"/>
        </w:rPr>
        <w:t xml:space="preserve"> </w:t>
      </w:r>
      <w:r>
        <w:rPr>
          <w:u w:val="single"/>
        </w:rPr>
        <w:t xml:space="preserve">  </w:t>
      </w:r>
      <w:r>
        <w:rPr>
          <w:rFonts w:hint="eastAsia"/>
          <w:u w:val="single"/>
        </w:rPr>
        <w:t xml:space="preserve"> </w:t>
      </w:r>
      <w:r>
        <w:rPr>
          <w:rFonts w:hint="eastAsia"/>
        </w:rPr>
        <w:t>提交下述文件正本一份及副本四份及报价函一份：</w:t>
      </w:r>
    </w:p>
    <w:p>
      <w:pPr>
        <w:rPr>
          <w:u w:val="single"/>
        </w:rPr>
      </w:pPr>
      <w:r>
        <w:rPr>
          <w:rFonts w:hint="eastAsia"/>
        </w:rPr>
        <w:t>（一）</w:t>
      </w:r>
      <w:r>
        <w:rPr>
          <w:rFonts w:hint="eastAsia"/>
          <w:b/>
        </w:rPr>
        <w:t>报价</w:t>
      </w:r>
      <w:r>
        <w:rPr>
          <w:rFonts w:hint="eastAsia"/>
        </w:rPr>
        <w:t>：按竞争性谈判采购文件中的服务要求共计人民币</w:t>
      </w:r>
      <w:r>
        <w:rPr>
          <w:rFonts w:hint="eastAsia"/>
          <w:u w:val="single"/>
        </w:rPr>
        <w:t>（小写）（大写）。</w:t>
      </w:r>
    </w:p>
    <w:p>
      <w:r>
        <w:rPr>
          <w:rFonts w:hint="eastAsia"/>
        </w:rPr>
        <w:t>（二）</w:t>
      </w:r>
      <w:r>
        <w:rPr>
          <w:rFonts w:hint="eastAsia"/>
          <w:b/>
        </w:rPr>
        <w:t>服务期限</w:t>
      </w:r>
      <w:r>
        <w:rPr>
          <w:rFonts w:hint="eastAsia"/>
        </w:rPr>
        <w:t>：</w:t>
      </w:r>
      <w:r>
        <w:rPr>
          <w:rFonts w:hint="eastAsia"/>
          <w:u w:val="single"/>
        </w:rPr>
        <w:t xml:space="preserve">         </w:t>
      </w:r>
      <w:r>
        <w:rPr>
          <w:rFonts w:hint="eastAsia"/>
        </w:rPr>
        <w:t>。</w:t>
      </w:r>
    </w:p>
    <w:p>
      <w:r>
        <w:rPr>
          <w:rFonts w:hint="eastAsia"/>
        </w:rPr>
        <w:t>（三）按招标采购文件中的要求提供有关文件。</w:t>
      </w:r>
    </w:p>
    <w:p>
      <w:r>
        <w:rPr>
          <w:rFonts w:hint="eastAsia"/>
        </w:rPr>
        <w:t>（四）我单位愿意对上述项目进行报价。投标响应文件中所有关于供货商资格的文件、证明、陈述均是真实的、准确的。若有违背，我公司承担由此而产生的一切后果。</w:t>
      </w:r>
    </w:p>
    <w:p>
      <w:r>
        <w:rPr>
          <w:rFonts w:hint="eastAsia"/>
        </w:rPr>
        <w:t>（五）如采购人确定我方提供的产品，我方将按规定履行合同责任和义务。</w:t>
      </w:r>
    </w:p>
    <w:p>
      <w:r>
        <w:rPr>
          <w:rFonts w:hint="eastAsia"/>
        </w:rPr>
        <w:t>（六）本投标响应文件有效期为自递交投标响应文件之日起60个日历日。</w:t>
      </w:r>
    </w:p>
    <w:p>
      <w:r>
        <w:rPr>
          <w:rFonts w:hint="eastAsia"/>
        </w:rPr>
        <w:t>（七）与本报价有关的一切正式往来信函请寄:</w:t>
      </w:r>
    </w:p>
    <w:p/>
    <w:p>
      <w:r>
        <w:rPr>
          <w:rFonts w:hint="eastAsia"/>
        </w:rPr>
        <w:t xml:space="preserve">地址:              邮编:            </w:t>
      </w:r>
    </w:p>
    <w:p>
      <w:r>
        <w:rPr>
          <w:rFonts w:hint="eastAsia"/>
        </w:rPr>
        <w:t xml:space="preserve">电话:              传真:            </w:t>
      </w:r>
    </w:p>
    <w:p/>
    <w:p>
      <w:r>
        <w:rPr>
          <w:rFonts w:hint="eastAsia"/>
        </w:rPr>
        <w:t xml:space="preserve">单位负责人或其授权代表签字: </w:t>
      </w:r>
      <w:r>
        <w:rPr>
          <w:rFonts w:hint="eastAsia"/>
          <w:u w:val="single"/>
        </w:rPr>
        <w:t xml:space="preserve">         </w:t>
      </w:r>
    </w:p>
    <w:p>
      <w:r>
        <w:rPr>
          <w:rFonts w:hint="eastAsia"/>
        </w:rPr>
        <w:t xml:space="preserve">供应商名称：           </w:t>
      </w:r>
    </w:p>
    <w:p>
      <w:r>
        <w:rPr>
          <w:rFonts w:hint="eastAsia"/>
        </w:rPr>
        <w:t xml:space="preserve">公 章：             </w:t>
      </w:r>
    </w:p>
    <w:p>
      <w:r>
        <w:rPr>
          <w:rFonts w:hint="eastAsia"/>
        </w:rPr>
        <w:t xml:space="preserve">日 期：             </w:t>
      </w:r>
    </w:p>
    <w:p>
      <w:pPr>
        <w:ind w:firstLine="0" w:firstLineChars="0"/>
      </w:pPr>
      <w:r>
        <w:rPr>
          <w:rFonts w:hint="eastAsia"/>
        </w:rPr>
        <w:t>注：此报价函除在此填写外，还应单独出具一份正本，单独密封，和投标文件同时递交。</w:t>
      </w:r>
    </w:p>
    <w:p>
      <w:pPr>
        <w:pStyle w:val="4"/>
        <w:ind w:firstLine="0" w:firstLineChars="0"/>
        <w:rPr>
          <w:rFonts w:eastAsia="宋体"/>
          <w:highlight w:val="none"/>
        </w:rPr>
      </w:pPr>
      <w:r>
        <w:rPr>
          <w:rFonts w:eastAsia="宋体"/>
        </w:rPr>
        <w:br w:type="page"/>
      </w:r>
      <w:bookmarkStart w:id="75" w:name="_Toc491149609"/>
      <w:bookmarkStart w:id="76" w:name="_Toc12745"/>
      <w:r>
        <w:rPr>
          <w:rFonts w:hint="eastAsia" w:eastAsia="宋体"/>
        </w:rPr>
        <w:t>二、</w:t>
      </w:r>
      <w:r>
        <w:rPr>
          <w:rFonts w:hint="eastAsia" w:eastAsia="宋体"/>
          <w:highlight w:val="none"/>
        </w:rPr>
        <w:t>服务项目报价汇总表</w:t>
      </w:r>
      <w:bookmarkEnd w:id="75"/>
      <w:bookmarkEnd w:id="76"/>
    </w:p>
    <w:tbl>
      <w:tblPr>
        <w:tblStyle w:val="34"/>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574"/>
        <w:gridCol w:w="1574"/>
        <w:gridCol w:w="2014"/>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789" w:type="dxa"/>
            <w:vAlign w:val="center"/>
          </w:tcPr>
          <w:p>
            <w:pPr>
              <w:ind w:firstLine="0" w:firstLineChars="0"/>
              <w:jc w:val="center"/>
              <w:rPr>
                <w:b/>
                <w:bCs/>
                <w:sz w:val="24"/>
                <w:szCs w:val="24"/>
              </w:rPr>
            </w:pPr>
            <w:r>
              <w:rPr>
                <w:rFonts w:hint="eastAsia"/>
                <w:b/>
                <w:bCs/>
                <w:sz w:val="24"/>
                <w:szCs w:val="24"/>
              </w:rPr>
              <w:t>序号</w:t>
            </w:r>
          </w:p>
        </w:tc>
        <w:tc>
          <w:tcPr>
            <w:tcW w:w="1574" w:type="dxa"/>
            <w:vAlign w:val="center"/>
          </w:tcPr>
          <w:p>
            <w:pPr>
              <w:ind w:firstLine="0" w:firstLineChars="0"/>
              <w:jc w:val="center"/>
              <w:rPr>
                <w:b/>
                <w:bCs/>
                <w:sz w:val="24"/>
                <w:szCs w:val="24"/>
              </w:rPr>
            </w:pPr>
            <w:r>
              <w:rPr>
                <w:rFonts w:hint="eastAsia"/>
                <w:b/>
                <w:bCs/>
                <w:sz w:val="24"/>
                <w:szCs w:val="24"/>
              </w:rPr>
              <w:t>年度</w:t>
            </w:r>
          </w:p>
        </w:tc>
        <w:tc>
          <w:tcPr>
            <w:tcW w:w="1574" w:type="dxa"/>
            <w:vAlign w:val="center"/>
          </w:tcPr>
          <w:p>
            <w:pPr>
              <w:ind w:firstLine="0" w:firstLineChars="0"/>
              <w:jc w:val="center"/>
              <w:rPr>
                <w:b/>
                <w:bCs/>
                <w:sz w:val="24"/>
                <w:szCs w:val="24"/>
              </w:rPr>
            </w:pPr>
            <w:r>
              <w:rPr>
                <w:rFonts w:hint="eastAsia"/>
                <w:b/>
                <w:bCs/>
                <w:sz w:val="24"/>
                <w:szCs w:val="24"/>
              </w:rPr>
              <w:t>项目内容</w:t>
            </w:r>
          </w:p>
        </w:tc>
        <w:tc>
          <w:tcPr>
            <w:tcW w:w="2014" w:type="dxa"/>
            <w:vAlign w:val="center"/>
          </w:tcPr>
          <w:p>
            <w:pPr>
              <w:ind w:firstLine="482"/>
              <w:jc w:val="center"/>
              <w:rPr>
                <w:b/>
                <w:bCs/>
                <w:sz w:val="24"/>
                <w:szCs w:val="24"/>
              </w:rPr>
            </w:pPr>
            <w:r>
              <w:rPr>
                <w:rFonts w:hint="eastAsia"/>
                <w:b/>
                <w:bCs/>
                <w:sz w:val="24"/>
                <w:szCs w:val="24"/>
              </w:rPr>
              <w:t>报价</w:t>
            </w:r>
          </w:p>
        </w:tc>
        <w:tc>
          <w:tcPr>
            <w:tcW w:w="2486" w:type="dxa"/>
            <w:vAlign w:val="center"/>
          </w:tcPr>
          <w:p>
            <w:pPr>
              <w:ind w:firstLine="482"/>
              <w:jc w:val="center"/>
              <w:rPr>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789" w:type="dxa"/>
            <w:vMerge w:val="restart"/>
            <w:vAlign w:val="center"/>
          </w:tcPr>
          <w:p>
            <w:pPr>
              <w:ind w:firstLine="0" w:firstLineChars="0"/>
              <w:jc w:val="center"/>
              <w:rPr>
                <w:sz w:val="24"/>
                <w:szCs w:val="24"/>
              </w:rPr>
            </w:pPr>
            <w:r>
              <w:rPr>
                <w:rFonts w:hint="eastAsia"/>
                <w:sz w:val="24"/>
                <w:szCs w:val="24"/>
              </w:rPr>
              <w:t>1</w:t>
            </w:r>
          </w:p>
        </w:tc>
        <w:tc>
          <w:tcPr>
            <w:tcW w:w="1574" w:type="dxa"/>
            <w:vMerge w:val="restart"/>
            <w:vAlign w:val="center"/>
          </w:tcPr>
          <w:p>
            <w:pPr>
              <w:ind w:firstLine="0" w:firstLineChars="0"/>
              <w:jc w:val="center"/>
              <w:rPr>
                <w:sz w:val="24"/>
                <w:szCs w:val="24"/>
              </w:rPr>
            </w:pPr>
            <w:r>
              <w:rPr>
                <w:rFonts w:hint="eastAsia"/>
                <w:sz w:val="24"/>
                <w:szCs w:val="24"/>
              </w:rPr>
              <w:t>2022年</w:t>
            </w:r>
          </w:p>
        </w:tc>
        <w:tc>
          <w:tcPr>
            <w:tcW w:w="1574" w:type="dxa"/>
          </w:tcPr>
          <w:p>
            <w:pPr>
              <w:ind w:firstLine="0" w:firstLineChars="0"/>
              <w:rPr>
                <w:sz w:val="24"/>
                <w:szCs w:val="24"/>
              </w:rPr>
            </w:pPr>
          </w:p>
        </w:tc>
        <w:tc>
          <w:tcPr>
            <w:tcW w:w="2014" w:type="dxa"/>
          </w:tcPr>
          <w:p>
            <w:pPr>
              <w:ind w:firstLine="0" w:firstLineChars="0"/>
              <w:rPr>
                <w:sz w:val="24"/>
                <w:szCs w:val="24"/>
              </w:rPr>
            </w:pPr>
          </w:p>
        </w:tc>
        <w:tc>
          <w:tcPr>
            <w:tcW w:w="2486" w:type="dxa"/>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789" w:type="dxa"/>
            <w:vMerge w:val="continue"/>
            <w:vAlign w:val="center"/>
          </w:tcPr>
          <w:p>
            <w:pPr>
              <w:ind w:firstLine="0" w:firstLineChars="0"/>
              <w:rPr>
                <w:sz w:val="24"/>
                <w:szCs w:val="24"/>
              </w:rPr>
            </w:pPr>
          </w:p>
        </w:tc>
        <w:tc>
          <w:tcPr>
            <w:tcW w:w="1574" w:type="dxa"/>
            <w:vMerge w:val="continue"/>
            <w:vAlign w:val="center"/>
          </w:tcPr>
          <w:p>
            <w:pPr>
              <w:ind w:firstLine="0" w:firstLineChars="0"/>
              <w:jc w:val="center"/>
              <w:rPr>
                <w:sz w:val="24"/>
                <w:szCs w:val="24"/>
              </w:rPr>
            </w:pPr>
          </w:p>
        </w:tc>
        <w:tc>
          <w:tcPr>
            <w:tcW w:w="1574" w:type="dxa"/>
          </w:tcPr>
          <w:p>
            <w:pPr>
              <w:ind w:firstLine="0" w:firstLineChars="0"/>
              <w:rPr>
                <w:sz w:val="24"/>
                <w:szCs w:val="24"/>
              </w:rPr>
            </w:pPr>
          </w:p>
        </w:tc>
        <w:tc>
          <w:tcPr>
            <w:tcW w:w="2014" w:type="dxa"/>
          </w:tcPr>
          <w:p>
            <w:pPr>
              <w:ind w:firstLine="0" w:firstLineChars="0"/>
              <w:rPr>
                <w:sz w:val="24"/>
                <w:szCs w:val="24"/>
              </w:rPr>
            </w:pPr>
          </w:p>
        </w:tc>
        <w:tc>
          <w:tcPr>
            <w:tcW w:w="2486" w:type="dxa"/>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789" w:type="dxa"/>
            <w:vMerge w:val="continue"/>
            <w:vAlign w:val="center"/>
          </w:tcPr>
          <w:p>
            <w:pPr>
              <w:ind w:firstLine="0" w:firstLineChars="0"/>
              <w:rPr>
                <w:sz w:val="24"/>
                <w:szCs w:val="24"/>
              </w:rPr>
            </w:pPr>
          </w:p>
        </w:tc>
        <w:tc>
          <w:tcPr>
            <w:tcW w:w="1574" w:type="dxa"/>
            <w:vMerge w:val="continue"/>
            <w:vAlign w:val="center"/>
          </w:tcPr>
          <w:p>
            <w:pPr>
              <w:ind w:firstLine="0" w:firstLineChars="0"/>
              <w:jc w:val="center"/>
              <w:rPr>
                <w:sz w:val="24"/>
                <w:szCs w:val="24"/>
              </w:rPr>
            </w:pPr>
          </w:p>
        </w:tc>
        <w:tc>
          <w:tcPr>
            <w:tcW w:w="1574" w:type="dxa"/>
          </w:tcPr>
          <w:p>
            <w:pPr>
              <w:ind w:firstLine="0" w:firstLineChars="0"/>
              <w:rPr>
                <w:sz w:val="24"/>
                <w:szCs w:val="24"/>
              </w:rPr>
            </w:pPr>
            <w:r>
              <w:rPr>
                <w:rFonts w:hint="eastAsia"/>
                <w:sz w:val="24"/>
                <w:szCs w:val="24"/>
              </w:rPr>
              <w:t>小计</w:t>
            </w:r>
          </w:p>
        </w:tc>
        <w:tc>
          <w:tcPr>
            <w:tcW w:w="4500" w:type="dxa"/>
            <w:gridSpan w:val="2"/>
          </w:tcPr>
          <w:p>
            <w:pPr>
              <w:ind w:firstLine="0" w:firstLineChars="0"/>
              <w:rPr>
                <w:sz w:val="24"/>
                <w:szCs w:val="24"/>
              </w:rPr>
            </w:pPr>
          </w:p>
        </w:tc>
      </w:tr>
    </w:tbl>
    <w:p/>
    <w:p>
      <w:r>
        <w:rPr>
          <w:rFonts w:hint="eastAsia"/>
        </w:rPr>
        <w:t>备注：</w:t>
      </w:r>
    </w:p>
    <w:p>
      <w:r>
        <w:rPr>
          <w:rFonts w:hint="eastAsia"/>
        </w:rPr>
        <w:t>1、报价单位为人民币（万元）；</w:t>
      </w:r>
    </w:p>
    <w:p>
      <w:r>
        <w:rPr>
          <w:rFonts w:hint="eastAsia"/>
        </w:rPr>
        <w:t>2、供应商应承诺当采购方所要求的服务内容及服务年限发生变化时，保证所提供服务的价格不高于本次投标的价格；各种优惠条件不低于本次投标的标准。</w:t>
      </w:r>
    </w:p>
    <w:p>
      <w:r>
        <w:rPr>
          <w:rFonts w:hint="eastAsia"/>
        </w:rPr>
        <w:t>3、供应商应承诺保证在随后的服务年限扩充时，采购同种服务的价格水平不高于本次的价格水平。</w:t>
      </w:r>
    </w:p>
    <w:p>
      <w:r>
        <w:rPr>
          <w:rFonts w:hint="eastAsia"/>
        </w:rPr>
        <w:t>4、如果单价和总价不符时，以单价为准；</w:t>
      </w:r>
    </w:p>
    <w:p>
      <w:r>
        <w:rPr>
          <w:rFonts w:hint="eastAsia"/>
        </w:rPr>
        <w:t>5、表格不够可自行添加。</w:t>
      </w:r>
    </w:p>
    <w:p>
      <w:r>
        <w:rPr>
          <w:rFonts w:hint="eastAsia"/>
        </w:rPr>
        <w:t>6、供应商应在本报价表后提供分项报价表，以便业主了解供应商所提供的设备和服务的详细报价组成，表格格式由投标人自行拟定。</w:t>
      </w:r>
    </w:p>
    <w:p/>
    <w:p>
      <w:r>
        <w:rPr>
          <w:rFonts w:hint="eastAsia"/>
        </w:rPr>
        <w:t>单位负责人或其授权代表签字：</w:t>
      </w:r>
    </w:p>
    <w:p>
      <w:r>
        <w:rPr>
          <w:rFonts w:hint="eastAsia"/>
        </w:rPr>
        <w:t>供应商名称（公章）：</w:t>
      </w:r>
    </w:p>
    <w:p>
      <w:pPr>
        <w:pStyle w:val="4"/>
        <w:ind w:firstLine="0" w:firstLineChars="0"/>
        <w:rPr>
          <w:rFonts w:eastAsia="宋体"/>
          <w:sz w:val="28"/>
          <w:szCs w:val="28"/>
        </w:rPr>
      </w:pPr>
      <w:r>
        <w:rPr>
          <w:rFonts w:hint="eastAsia" w:eastAsia="宋体" w:cs="宋体-18030"/>
          <w:sz w:val="24"/>
        </w:rPr>
        <w:br w:type="page"/>
      </w:r>
      <w:bookmarkStart w:id="77" w:name="_Toc20497"/>
      <w:bookmarkStart w:id="78" w:name="_Toc491149610"/>
      <w:r>
        <w:rPr>
          <w:rFonts w:hint="eastAsia" w:eastAsia="宋体"/>
        </w:rPr>
        <w:t>三、</w:t>
      </w:r>
      <w:bookmarkStart w:id="79" w:name="_Toc171496385"/>
      <w:r>
        <w:rPr>
          <w:rFonts w:hint="eastAsia" w:eastAsia="宋体"/>
        </w:rPr>
        <w:t>商务响应和偏离表</w:t>
      </w:r>
      <w:bookmarkEnd w:id="77"/>
      <w:bookmarkEnd w:id="78"/>
      <w:bookmarkEnd w:id="79"/>
    </w:p>
    <w:tbl>
      <w:tblPr>
        <w:tblStyle w:val="3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908"/>
        <w:gridCol w:w="1908"/>
        <w:gridCol w:w="190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1090" w:type="dxa"/>
            <w:vAlign w:val="center"/>
          </w:tcPr>
          <w:p>
            <w:pPr>
              <w:ind w:firstLine="0" w:firstLineChars="0"/>
              <w:jc w:val="center"/>
              <w:rPr>
                <w:b/>
                <w:bCs/>
                <w:sz w:val="24"/>
                <w:szCs w:val="24"/>
              </w:rPr>
            </w:pPr>
            <w:r>
              <w:rPr>
                <w:rFonts w:hint="eastAsia"/>
                <w:b/>
                <w:bCs/>
                <w:sz w:val="24"/>
                <w:szCs w:val="24"/>
              </w:rPr>
              <w:t>序号</w:t>
            </w:r>
          </w:p>
        </w:tc>
        <w:tc>
          <w:tcPr>
            <w:tcW w:w="1908" w:type="dxa"/>
            <w:vAlign w:val="center"/>
          </w:tcPr>
          <w:p>
            <w:pPr>
              <w:ind w:firstLine="0" w:firstLineChars="0"/>
              <w:jc w:val="center"/>
              <w:rPr>
                <w:b/>
                <w:bCs/>
                <w:sz w:val="24"/>
                <w:szCs w:val="24"/>
              </w:rPr>
            </w:pPr>
            <w:r>
              <w:rPr>
                <w:rFonts w:hint="eastAsia"/>
                <w:b/>
                <w:bCs/>
                <w:sz w:val="24"/>
                <w:szCs w:val="24"/>
              </w:rPr>
              <w:t>招标要求</w:t>
            </w:r>
          </w:p>
        </w:tc>
        <w:tc>
          <w:tcPr>
            <w:tcW w:w="1908" w:type="dxa"/>
            <w:vAlign w:val="center"/>
          </w:tcPr>
          <w:p>
            <w:pPr>
              <w:ind w:firstLine="0" w:firstLineChars="0"/>
              <w:jc w:val="center"/>
              <w:rPr>
                <w:b/>
                <w:bCs/>
                <w:sz w:val="24"/>
                <w:szCs w:val="24"/>
              </w:rPr>
            </w:pPr>
            <w:r>
              <w:rPr>
                <w:rFonts w:hint="eastAsia"/>
                <w:b/>
                <w:bCs/>
                <w:sz w:val="24"/>
                <w:szCs w:val="24"/>
              </w:rPr>
              <w:t>响应</w:t>
            </w:r>
          </w:p>
        </w:tc>
        <w:tc>
          <w:tcPr>
            <w:tcW w:w="1908" w:type="dxa"/>
            <w:vAlign w:val="center"/>
          </w:tcPr>
          <w:p>
            <w:pPr>
              <w:ind w:firstLine="0" w:firstLineChars="0"/>
              <w:jc w:val="center"/>
              <w:rPr>
                <w:b/>
                <w:bCs/>
                <w:sz w:val="24"/>
                <w:szCs w:val="24"/>
              </w:rPr>
            </w:pPr>
            <w:r>
              <w:rPr>
                <w:rFonts w:hint="eastAsia"/>
                <w:b/>
                <w:bCs/>
                <w:sz w:val="24"/>
                <w:szCs w:val="24"/>
              </w:rPr>
              <w:t>超出</w:t>
            </w:r>
          </w:p>
          <w:p>
            <w:pPr>
              <w:ind w:firstLine="0" w:firstLineChars="0"/>
              <w:jc w:val="center"/>
              <w:rPr>
                <w:b/>
                <w:bCs/>
                <w:sz w:val="24"/>
                <w:szCs w:val="24"/>
              </w:rPr>
            </w:pPr>
            <w:r>
              <w:rPr>
                <w:rFonts w:hint="eastAsia"/>
                <w:b/>
                <w:bCs/>
                <w:sz w:val="24"/>
                <w:szCs w:val="24"/>
              </w:rPr>
              <w:t>符合或偏离</w:t>
            </w:r>
          </w:p>
        </w:tc>
        <w:tc>
          <w:tcPr>
            <w:tcW w:w="1906" w:type="dxa"/>
            <w:vAlign w:val="center"/>
          </w:tcPr>
          <w:p>
            <w:pPr>
              <w:ind w:firstLine="0" w:firstLineChars="0"/>
              <w:jc w:val="center"/>
              <w:rPr>
                <w:b/>
                <w:bCs/>
                <w:sz w:val="24"/>
                <w:szCs w:val="24"/>
              </w:rPr>
            </w:pPr>
            <w:r>
              <w:rPr>
                <w:rFonts w:hint="eastAsia"/>
                <w:b/>
                <w:bCs/>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090" w:type="dxa"/>
            <w:vAlign w:val="center"/>
          </w:tcPr>
          <w:p>
            <w:pPr>
              <w:numPr>
                <w:ilvl w:val="0"/>
                <w:numId w:val="4"/>
              </w:num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6"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1090" w:type="dxa"/>
            <w:vAlign w:val="center"/>
          </w:tcPr>
          <w:p>
            <w:pPr>
              <w:numPr>
                <w:ilvl w:val="0"/>
                <w:numId w:val="4"/>
              </w:num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6"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1090" w:type="dxa"/>
            <w:vAlign w:val="center"/>
          </w:tcPr>
          <w:p>
            <w:pPr>
              <w:numPr>
                <w:ilvl w:val="0"/>
                <w:numId w:val="4"/>
              </w:num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6"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090" w:type="dxa"/>
            <w:vAlign w:val="center"/>
          </w:tcPr>
          <w:p>
            <w:pPr>
              <w:numPr>
                <w:ilvl w:val="0"/>
                <w:numId w:val="4"/>
              </w:num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6"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1090" w:type="dxa"/>
            <w:vAlign w:val="center"/>
          </w:tcPr>
          <w:p>
            <w:pPr>
              <w:numPr>
                <w:ilvl w:val="0"/>
                <w:numId w:val="4"/>
              </w:num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6"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090" w:type="dxa"/>
            <w:vAlign w:val="center"/>
          </w:tcPr>
          <w:p>
            <w:pPr>
              <w:numPr>
                <w:ilvl w:val="0"/>
                <w:numId w:val="4"/>
              </w:num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6"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090" w:type="dxa"/>
            <w:vAlign w:val="center"/>
          </w:tcPr>
          <w:p>
            <w:pPr>
              <w:numPr>
                <w:ilvl w:val="0"/>
                <w:numId w:val="4"/>
              </w:num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6" w:type="dxa"/>
            <w:vAlign w:val="center"/>
          </w:tcPr>
          <w:p>
            <w:pPr>
              <w:ind w:firstLine="0" w:firstLineChars="0"/>
              <w:rPr>
                <w:sz w:val="24"/>
                <w:szCs w:val="24"/>
              </w:rPr>
            </w:pPr>
          </w:p>
        </w:tc>
      </w:tr>
    </w:tbl>
    <w:p/>
    <w:p>
      <w:pPr>
        <w:ind w:firstLine="562"/>
      </w:pPr>
      <w:r>
        <w:rPr>
          <w:rFonts w:hint="eastAsia"/>
          <w:b/>
        </w:rPr>
        <w:t>注：</w:t>
      </w:r>
      <w:r>
        <w:rPr>
          <w:rFonts w:hint="eastAsia"/>
        </w:rPr>
        <w:t>1、即使供应商在项目参数的描述中进行了描述或无偏离，也要提报该表。如无偏离，应注明“无”。</w:t>
      </w:r>
    </w:p>
    <w:p>
      <w:r>
        <w:rPr>
          <w:rFonts w:hint="eastAsia"/>
        </w:rPr>
        <w:t>2、按照基本要求详细填列。</w:t>
      </w:r>
    </w:p>
    <w:p>
      <w:r>
        <w:t>3</w:t>
      </w:r>
      <w:r>
        <w:rPr>
          <w:rFonts w:hint="eastAsia"/>
        </w:rPr>
        <w:t>、行数不够，可自行添加。</w:t>
      </w:r>
    </w:p>
    <w:p/>
    <w:p>
      <w:r>
        <w:rPr>
          <w:rFonts w:hint="eastAsia"/>
        </w:rPr>
        <w:t>单位负责人或其授权代表签字：</w:t>
      </w:r>
    </w:p>
    <w:p/>
    <w:p>
      <w:r>
        <w:rPr>
          <w:rFonts w:hint="eastAsia"/>
        </w:rPr>
        <w:t>供应商名称（公章）：</w:t>
      </w:r>
    </w:p>
    <w:p>
      <w:pPr>
        <w:pStyle w:val="4"/>
        <w:ind w:firstLine="0" w:firstLineChars="0"/>
        <w:rPr>
          <w:rFonts w:eastAsia="宋体"/>
          <w:sz w:val="28"/>
          <w:szCs w:val="28"/>
        </w:rPr>
      </w:pPr>
      <w:r>
        <w:rPr>
          <w:rFonts w:eastAsia="宋体" w:cs="宋体-18030"/>
          <w:sz w:val="24"/>
        </w:rPr>
        <w:br w:type="page"/>
      </w:r>
      <w:bookmarkStart w:id="80" w:name="_Toc491149611"/>
      <w:bookmarkStart w:id="81" w:name="_Toc11180"/>
      <w:r>
        <w:rPr>
          <w:rFonts w:hint="eastAsia" w:eastAsia="宋体"/>
        </w:rPr>
        <w:t>四、技术响应和偏离表</w:t>
      </w:r>
      <w:bookmarkEnd w:id="80"/>
      <w:bookmarkEnd w:id="81"/>
    </w:p>
    <w:tbl>
      <w:tblPr>
        <w:tblStyle w:val="3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908"/>
        <w:gridCol w:w="1908"/>
        <w:gridCol w:w="190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1090" w:type="dxa"/>
            <w:vAlign w:val="center"/>
          </w:tcPr>
          <w:p>
            <w:pPr>
              <w:ind w:firstLine="0" w:firstLineChars="0"/>
              <w:jc w:val="center"/>
              <w:rPr>
                <w:b/>
                <w:bCs/>
                <w:sz w:val="24"/>
                <w:szCs w:val="24"/>
              </w:rPr>
            </w:pPr>
            <w:r>
              <w:rPr>
                <w:rFonts w:hint="eastAsia"/>
                <w:b/>
                <w:bCs/>
                <w:sz w:val="24"/>
                <w:szCs w:val="24"/>
              </w:rPr>
              <w:t>序号</w:t>
            </w:r>
          </w:p>
        </w:tc>
        <w:tc>
          <w:tcPr>
            <w:tcW w:w="1908" w:type="dxa"/>
            <w:vAlign w:val="center"/>
          </w:tcPr>
          <w:p>
            <w:pPr>
              <w:ind w:firstLine="0" w:firstLineChars="0"/>
              <w:jc w:val="center"/>
              <w:rPr>
                <w:b/>
                <w:bCs/>
                <w:sz w:val="24"/>
                <w:szCs w:val="24"/>
              </w:rPr>
            </w:pPr>
            <w:r>
              <w:rPr>
                <w:rFonts w:hint="eastAsia"/>
                <w:b/>
                <w:bCs/>
                <w:sz w:val="24"/>
                <w:szCs w:val="24"/>
              </w:rPr>
              <w:t>招标要求</w:t>
            </w:r>
          </w:p>
        </w:tc>
        <w:tc>
          <w:tcPr>
            <w:tcW w:w="1908" w:type="dxa"/>
            <w:vAlign w:val="center"/>
          </w:tcPr>
          <w:p>
            <w:pPr>
              <w:ind w:firstLine="0" w:firstLineChars="0"/>
              <w:jc w:val="center"/>
              <w:rPr>
                <w:b/>
                <w:bCs/>
                <w:sz w:val="24"/>
                <w:szCs w:val="24"/>
              </w:rPr>
            </w:pPr>
            <w:r>
              <w:rPr>
                <w:rFonts w:hint="eastAsia"/>
                <w:b/>
                <w:bCs/>
                <w:sz w:val="24"/>
                <w:szCs w:val="24"/>
              </w:rPr>
              <w:t>响应</w:t>
            </w:r>
          </w:p>
        </w:tc>
        <w:tc>
          <w:tcPr>
            <w:tcW w:w="1908" w:type="dxa"/>
            <w:vAlign w:val="center"/>
          </w:tcPr>
          <w:p>
            <w:pPr>
              <w:ind w:firstLine="0" w:firstLineChars="0"/>
              <w:jc w:val="center"/>
              <w:rPr>
                <w:b/>
                <w:bCs/>
                <w:sz w:val="24"/>
                <w:szCs w:val="24"/>
              </w:rPr>
            </w:pPr>
            <w:r>
              <w:rPr>
                <w:rFonts w:hint="eastAsia"/>
                <w:b/>
                <w:bCs/>
                <w:sz w:val="24"/>
                <w:szCs w:val="24"/>
              </w:rPr>
              <w:t>超出、符合或偏离</w:t>
            </w:r>
          </w:p>
        </w:tc>
        <w:tc>
          <w:tcPr>
            <w:tcW w:w="1906" w:type="dxa"/>
            <w:vAlign w:val="center"/>
          </w:tcPr>
          <w:p>
            <w:pPr>
              <w:ind w:firstLine="0" w:firstLineChars="0"/>
              <w:jc w:val="center"/>
              <w:rPr>
                <w:b/>
                <w:bCs/>
                <w:sz w:val="24"/>
                <w:szCs w:val="24"/>
              </w:rPr>
            </w:pPr>
            <w:r>
              <w:rPr>
                <w:rFonts w:hint="eastAsia"/>
                <w:b/>
                <w:bCs/>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090" w:type="dxa"/>
            <w:vAlign w:val="center"/>
          </w:tcPr>
          <w:p>
            <w:pPr>
              <w:numPr>
                <w:ilvl w:val="0"/>
                <w:numId w:val="5"/>
              </w:num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6"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090" w:type="dxa"/>
            <w:vAlign w:val="center"/>
          </w:tcPr>
          <w:p>
            <w:pPr>
              <w:numPr>
                <w:ilvl w:val="0"/>
                <w:numId w:val="5"/>
              </w:num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6"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090" w:type="dxa"/>
            <w:vAlign w:val="center"/>
          </w:tcPr>
          <w:p>
            <w:pPr>
              <w:numPr>
                <w:ilvl w:val="0"/>
                <w:numId w:val="5"/>
              </w:num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6"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090" w:type="dxa"/>
            <w:vAlign w:val="center"/>
          </w:tcPr>
          <w:p>
            <w:pPr>
              <w:numPr>
                <w:ilvl w:val="0"/>
                <w:numId w:val="5"/>
              </w:num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6"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090" w:type="dxa"/>
            <w:vAlign w:val="center"/>
          </w:tcPr>
          <w:p>
            <w:pPr>
              <w:numPr>
                <w:ilvl w:val="0"/>
                <w:numId w:val="5"/>
              </w:num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6"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090" w:type="dxa"/>
            <w:vAlign w:val="center"/>
          </w:tcPr>
          <w:p>
            <w:pPr>
              <w:numPr>
                <w:ilvl w:val="0"/>
                <w:numId w:val="5"/>
              </w:num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6"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090" w:type="dxa"/>
            <w:vAlign w:val="center"/>
          </w:tcPr>
          <w:p>
            <w:pPr>
              <w:numPr>
                <w:ilvl w:val="0"/>
                <w:numId w:val="5"/>
              </w:num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8" w:type="dxa"/>
            <w:vAlign w:val="center"/>
          </w:tcPr>
          <w:p>
            <w:pPr>
              <w:ind w:firstLine="0" w:firstLineChars="0"/>
              <w:rPr>
                <w:sz w:val="24"/>
                <w:szCs w:val="24"/>
              </w:rPr>
            </w:pPr>
          </w:p>
        </w:tc>
        <w:tc>
          <w:tcPr>
            <w:tcW w:w="1906" w:type="dxa"/>
            <w:vAlign w:val="center"/>
          </w:tcPr>
          <w:p>
            <w:pPr>
              <w:ind w:firstLine="0" w:firstLineChars="0"/>
              <w:rPr>
                <w:sz w:val="24"/>
                <w:szCs w:val="24"/>
              </w:rPr>
            </w:pPr>
          </w:p>
        </w:tc>
      </w:tr>
    </w:tbl>
    <w:p/>
    <w:p>
      <w:pPr>
        <w:ind w:firstLine="562"/>
      </w:pPr>
      <w:r>
        <w:rPr>
          <w:rFonts w:hint="eastAsia"/>
          <w:b/>
        </w:rPr>
        <w:t>注：</w:t>
      </w:r>
      <w:r>
        <w:rPr>
          <w:rFonts w:hint="eastAsia"/>
        </w:rPr>
        <w:t>1、即使供应商在项目参数的描述中进行了描述或无偏离，也要提报该表。如无偏离，应注明“无”。</w:t>
      </w:r>
    </w:p>
    <w:p>
      <w:r>
        <w:rPr>
          <w:rFonts w:hint="eastAsia"/>
        </w:rPr>
        <w:t>2、按照基本技术要求详细填列。</w:t>
      </w:r>
    </w:p>
    <w:p>
      <w:r>
        <w:t>3</w:t>
      </w:r>
      <w:r>
        <w:rPr>
          <w:rFonts w:hint="eastAsia"/>
        </w:rPr>
        <w:t>、行数不够，可自行添加。</w:t>
      </w:r>
    </w:p>
    <w:p/>
    <w:p>
      <w:r>
        <w:rPr>
          <w:rFonts w:hint="eastAsia"/>
        </w:rPr>
        <w:t>单位负责人或其授权代表签字：</w:t>
      </w:r>
    </w:p>
    <w:p>
      <w:r>
        <w:rPr>
          <w:rFonts w:hint="eastAsia"/>
        </w:rPr>
        <w:t>供应商名称（公章）：</w:t>
      </w:r>
    </w:p>
    <w:p>
      <w:pPr>
        <w:pStyle w:val="4"/>
        <w:ind w:firstLine="0" w:firstLineChars="0"/>
        <w:rPr>
          <w:rFonts w:eastAsia="宋体"/>
        </w:rPr>
      </w:pPr>
      <w:r>
        <w:rPr>
          <w:rFonts w:eastAsia="宋体" w:cs="宋体-18030"/>
          <w:sz w:val="24"/>
        </w:rPr>
        <w:br w:type="page"/>
      </w:r>
      <w:bookmarkStart w:id="82" w:name="_Toc491149612"/>
      <w:bookmarkStart w:id="83" w:name="_Toc11063"/>
      <w:r>
        <w:rPr>
          <w:rFonts w:hint="eastAsia" w:eastAsia="宋体"/>
        </w:rPr>
        <w:t>五、资格证明文件</w:t>
      </w:r>
      <w:bookmarkEnd w:id="82"/>
      <w:bookmarkEnd w:id="83"/>
    </w:p>
    <w:p>
      <w:r>
        <w:rPr>
          <w:rFonts w:hint="eastAsia"/>
        </w:rPr>
        <w:t>以下材料均须复印件加盖单位公章：</w:t>
      </w:r>
    </w:p>
    <w:p>
      <w:pPr>
        <w:numPr>
          <w:ilvl w:val="0"/>
          <w:numId w:val="6"/>
        </w:numPr>
        <w:ind w:firstLineChars="0"/>
      </w:pPr>
      <w:r>
        <w:rPr>
          <w:rFonts w:hint="eastAsia"/>
        </w:rPr>
        <w:t>企业法人营业（三证合一）执照副本或事业单位法人证书</w:t>
      </w:r>
    </w:p>
    <w:p>
      <w:pPr>
        <w:ind w:left="1415" w:firstLine="0" w:firstLineChars="0"/>
      </w:pPr>
      <w:r>
        <w:rPr>
          <w:rFonts w:hint="eastAsia"/>
        </w:rPr>
        <w:t>复印件加盖公章</w:t>
      </w:r>
    </w:p>
    <w:p>
      <w:pPr>
        <w:numPr>
          <w:ilvl w:val="0"/>
          <w:numId w:val="6"/>
        </w:numPr>
        <w:ind w:firstLineChars="0"/>
      </w:pPr>
      <w:r>
        <w:rPr>
          <w:rFonts w:hint="eastAsia"/>
        </w:rPr>
        <w:t>供应商基本账户开立许可证复印件加盖公章</w:t>
      </w:r>
    </w:p>
    <w:p>
      <w:pPr>
        <w:numPr>
          <w:ilvl w:val="0"/>
          <w:numId w:val="6"/>
        </w:numPr>
        <w:ind w:firstLineChars="0"/>
      </w:pPr>
      <w:r>
        <w:rPr>
          <w:rFonts w:hint="eastAsia"/>
        </w:rPr>
        <w:t>信息系统建设和服务能力证明材料（如有）</w:t>
      </w:r>
    </w:p>
    <w:p/>
    <w:p>
      <w:pPr>
        <w:numPr>
          <w:ilvl w:val="0"/>
          <w:numId w:val="6"/>
        </w:numPr>
        <w:ind w:firstLineChars="0"/>
        <w:jc w:val="left"/>
      </w:pPr>
      <w:r>
        <w:br w:type="page"/>
      </w:r>
      <w:r>
        <w:rPr>
          <w:rFonts w:hint="eastAsia"/>
        </w:rPr>
        <w:t>单位负责人授权书（见格式）</w:t>
      </w:r>
    </w:p>
    <w:p>
      <w:pPr>
        <w:ind w:left="1415" w:firstLine="0" w:firstLineChars="0"/>
        <w:jc w:val="left"/>
      </w:pPr>
      <w:r>
        <w:rPr>
          <w:rFonts w:hint="eastAsia"/>
          <w:sz w:val="24"/>
        </w:rPr>
        <w:t>格式</w:t>
      </w:r>
    </w:p>
    <w:p>
      <w:pPr>
        <w:jc w:val="center"/>
      </w:pPr>
      <w:r>
        <w:rPr>
          <w:rFonts w:hint="eastAsia"/>
        </w:rPr>
        <w:t>单位负责人授权书</w:t>
      </w:r>
    </w:p>
    <w:p/>
    <w:p>
      <w:pPr>
        <w:rPr>
          <w:bCs/>
          <w:u w:val="single"/>
        </w:rPr>
      </w:pPr>
      <w:r>
        <w:rPr>
          <w:rFonts w:hint="eastAsia"/>
          <w:bCs/>
        </w:rPr>
        <w:t>兹授权</w:t>
      </w:r>
      <w:r>
        <w:rPr>
          <w:rFonts w:hint="eastAsia"/>
          <w:bCs/>
          <w:u w:val="single"/>
        </w:rPr>
        <w:t xml:space="preserve">   </w:t>
      </w:r>
      <w:r>
        <w:rPr>
          <w:rFonts w:hint="eastAsia"/>
          <w:bCs/>
        </w:rPr>
        <w:t xml:space="preserve">(被授权人姓名) </w:t>
      </w:r>
      <w:r>
        <w:rPr>
          <w:rFonts w:hint="eastAsia"/>
          <w:bCs/>
          <w:u w:val="single"/>
        </w:rPr>
        <w:t xml:space="preserve"> </w:t>
      </w:r>
      <w:r>
        <w:rPr>
          <w:bCs/>
          <w:u w:val="single"/>
        </w:rPr>
        <w:t xml:space="preserve">      </w:t>
      </w:r>
      <w:r>
        <w:rPr>
          <w:rFonts w:hint="eastAsia"/>
          <w:bCs/>
        </w:rPr>
        <w:t>(身份</w:t>
      </w:r>
      <w:r>
        <w:rPr>
          <w:bCs/>
        </w:rPr>
        <w:t>证号</w:t>
      </w:r>
      <w:r>
        <w:rPr>
          <w:rFonts w:hint="eastAsia"/>
          <w:bCs/>
        </w:rPr>
        <w:t>）为我方委托代理人，参加</w:t>
      </w:r>
      <w:r>
        <w:rPr>
          <w:rFonts w:hint="eastAsia"/>
        </w:rPr>
        <w:t xml:space="preserve"> </w:t>
      </w:r>
      <w:r>
        <w:rPr>
          <w:rFonts w:hint="eastAsia"/>
          <w:u w:val="single"/>
        </w:rPr>
        <w:t xml:space="preserve">            </w:t>
      </w:r>
      <w:r>
        <w:rPr>
          <w:rFonts w:hint="eastAsia"/>
        </w:rPr>
        <w:t>（项目名称、</w:t>
      </w:r>
      <w:r>
        <w:t>包号</w:t>
      </w:r>
      <w:r>
        <w:rPr>
          <w:rFonts w:hint="eastAsia"/>
        </w:rPr>
        <w:t>）</w:t>
      </w:r>
      <w:r>
        <w:rPr>
          <w:rFonts w:hint="eastAsia"/>
          <w:u w:val="single"/>
        </w:rPr>
        <w:t xml:space="preserve">     </w:t>
      </w:r>
      <w:r>
        <w:rPr>
          <w:rFonts w:hint="eastAsia"/>
        </w:rPr>
        <w:t>（项目编号)的投标活动，并以本公司名义处理一切与此次投标有关的事宜。</w:t>
      </w:r>
      <w:r>
        <w:t>在</w:t>
      </w:r>
      <w:r>
        <w:rPr>
          <w:rFonts w:hint="eastAsia"/>
        </w:rPr>
        <w:t>此</w:t>
      </w:r>
      <w:r>
        <w:t>次</w:t>
      </w:r>
      <w:r>
        <w:rPr>
          <w:rFonts w:hint="eastAsia"/>
        </w:rPr>
        <w:t>投标</w:t>
      </w:r>
      <w:r>
        <w:t>过程</w:t>
      </w:r>
      <w:r>
        <w:rPr>
          <w:rFonts w:hint="eastAsia"/>
        </w:rPr>
        <w:t>中，</w:t>
      </w:r>
      <w:r>
        <w:t>本</w:t>
      </w:r>
      <w:r>
        <w:rPr>
          <w:rFonts w:hint="eastAsia"/>
        </w:rPr>
        <w:t>公</w:t>
      </w:r>
      <w:r>
        <w:t>司将承担该</w:t>
      </w:r>
      <w:r>
        <w:rPr>
          <w:rFonts w:hint="eastAsia"/>
        </w:rPr>
        <w:t>代理</w:t>
      </w:r>
      <w:r>
        <w:t>人</w:t>
      </w:r>
      <w:r>
        <w:rPr>
          <w:rFonts w:hint="eastAsia"/>
        </w:rPr>
        <w:t>行</w:t>
      </w:r>
      <w:r>
        <w:t>为的全部法律</w:t>
      </w:r>
      <w:r>
        <w:rPr>
          <w:rFonts w:hint="eastAsia"/>
        </w:rPr>
        <w:t>后</w:t>
      </w:r>
      <w:r>
        <w:t>果和法律责任。</w:t>
      </w:r>
    </w:p>
    <w:p>
      <w:pPr>
        <w:pStyle w:val="66"/>
        <w:rPr>
          <w:rFonts w:hAnsi="宋体"/>
          <w:bCs/>
        </w:rPr>
      </w:pPr>
      <w:r>
        <w:rPr>
          <w:rFonts w:hint="eastAsia" w:hAnsi="宋体"/>
          <w:lang w:val="en-GB"/>
        </w:rPr>
        <w:t>本</w:t>
      </w:r>
      <w:r>
        <w:rPr>
          <w:rFonts w:hint="eastAsia" w:hAnsi="宋体"/>
        </w:rPr>
        <w:t>授权书</w:t>
      </w:r>
      <w:r>
        <w:rPr>
          <w:rFonts w:hint="eastAsia" w:hAnsi="宋体"/>
          <w:lang w:val="en-GB"/>
        </w:rPr>
        <w:t>有效期与本公司</w:t>
      </w:r>
      <w:r>
        <w:rPr>
          <w:rFonts w:hint="eastAsia" w:hAnsi="宋体"/>
        </w:rPr>
        <w:t>投标</w:t>
      </w:r>
      <w:r>
        <w:rPr>
          <w:rFonts w:hint="eastAsia" w:hAnsi="宋体"/>
          <w:lang w:val="en-GB"/>
        </w:rPr>
        <w:t>响应文件中标注的招标有效期相同，自签章之日起生效。</w:t>
      </w:r>
    </w:p>
    <w:p/>
    <w:p/>
    <w:p>
      <w:r>
        <w:rPr>
          <w:rFonts w:hint="eastAsia"/>
        </w:rPr>
        <w:t xml:space="preserve">单位负责人签字或盖章：          </w:t>
      </w:r>
    </w:p>
    <w:p/>
    <w:p>
      <w:r>
        <w:rPr>
          <w:rFonts w:hint="eastAsia"/>
        </w:rPr>
        <w:t xml:space="preserve">被授权人签字：              </w:t>
      </w:r>
    </w:p>
    <w:p/>
    <w:p>
      <w:r>
        <w:rPr>
          <w:rFonts w:hint="eastAsia"/>
        </w:rPr>
        <w:t xml:space="preserve">投标人公章：               </w:t>
      </w:r>
    </w:p>
    <w:p/>
    <w:p>
      <w:r>
        <w:rPr>
          <w:rFonts w:hint="eastAsia"/>
        </w:rPr>
        <w:t>注</w:t>
      </w:r>
      <w:r>
        <w:t>：</w:t>
      </w:r>
      <w:r>
        <w:rPr>
          <w:rFonts w:hint="eastAsia"/>
        </w:rPr>
        <w:t>1、单位负责人和</w:t>
      </w:r>
      <w:r>
        <w:t>被授权人</w:t>
      </w:r>
      <w:r>
        <w:rPr>
          <w:rFonts w:hint="eastAsia"/>
        </w:rPr>
        <w:t>签字</w:t>
      </w:r>
      <w:r>
        <w:t>，</w:t>
      </w:r>
      <w:r>
        <w:rPr>
          <w:rFonts w:hint="eastAsia"/>
        </w:rPr>
        <w:t>必须是亲笔签名。</w:t>
      </w:r>
    </w:p>
    <w:p>
      <w:r>
        <w:t>2</w:t>
      </w:r>
      <w:r>
        <w:rPr>
          <w:rFonts w:hint="eastAsia"/>
        </w:rPr>
        <w:t>、单位负责</w:t>
      </w:r>
      <w:r>
        <w:t>人盖章</w:t>
      </w:r>
      <w:r>
        <w:rPr>
          <w:rFonts w:hint="eastAsia"/>
        </w:rPr>
        <w:t>和供应商</w:t>
      </w:r>
      <w:r>
        <w:t>公章</w:t>
      </w:r>
      <w:r>
        <w:rPr>
          <w:rFonts w:hint="eastAsia"/>
        </w:rPr>
        <w:t>，</w:t>
      </w:r>
      <w:r>
        <w:t>必须</w:t>
      </w:r>
      <w:r>
        <w:rPr>
          <w:rFonts w:hint="eastAsia"/>
        </w:rPr>
        <w:t>是经公安部门备案的印章。</w:t>
      </w:r>
    </w:p>
    <w:p>
      <w:r>
        <w:rPr>
          <w:rFonts w:hint="eastAsia"/>
        </w:rPr>
        <w:t>3、</w:t>
      </w:r>
      <w:r>
        <w:t>不得使用其他印章或电子制版签名。</w:t>
      </w:r>
    </w:p>
    <w:p>
      <w:r>
        <w:rPr>
          <w:rFonts w:hint="eastAsia"/>
        </w:rPr>
        <w:t>4、需</w:t>
      </w:r>
      <w:r>
        <w:t>附</w:t>
      </w:r>
      <w:r>
        <w:rPr>
          <w:rFonts w:hint="eastAsia"/>
        </w:rPr>
        <w:t>单位负责人</w:t>
      </w:r>
      <w:r>
        <w:t>和被授权人的身份证复印件</w:t>
      </w:r>
      <w:r>
        <w:rPr>
          <w:rFonts w:hint="eastAsia"/>
        </w:rPr>
        <w:t>。</w:t>
      </w:r>
    </w:p>
    <w:p/>
    <w:p>
      <w:pPr>
        <w:ind w:firstLine="640"/>
      </w:pPr>
      <w:r>
        <w:rPr>
          <w:sz w:val="32"/>
          <w:szCs w:val="32"/>
        </w:rPr>
        <w:br w:type="page"/>
      </w:r>
      <w:bookmarkStart w:id="84" w:name="_Toc491149613"/>
      <w:r>
        <w:rPr>
          <w:rFonts w:hint="eastAsia"/>
        </w:rPr>
        <w:t>（五）</w:t>
      </w:r>
      <w:bookmarkStart w:id="85" w:name="_Toc421802285"/>
      <w:bookmarkStart w:id="86" w:name="_Toc441752454"/>
      <w:bookmarkStart w:id="87" w:name="_Toc417543325"/>
      <w:r>
        <w:rPr>
          <w:rFonts w:hint="eastAsia"/>
        </w:rPr>
        <w:t>财务能力证明文件</w:t>
      </w:r>
    </w:p>
    <w:bookmarkEnd w:id="85"/>
    <w:bookmarkEnd w:id="86"/>
    <w:bookmarkEnd w:id="87"/>
    <w:p>
      <w:pPr>
        <w:spacing w:line="360" w:lineRule="auto"/>
      </w:pPr>
      <w:r>
        <w:rPr>
          <w:rFonts w:hint="eastAsia"/>
        </w:rPr>
        <w:t>供应商应在此提供银行资信证明或供应商近一年（2</w:t>
      </w:r>
      <w:r>
        <w:t>021</w:t>
      </w:r>
      <w:r>
        <w:rPr>
          <w:rFonts w:hint="eastAsia"/>
        </w:rPr>
        <w:t>年）的会计师事务所出具的财务审计报告。</w:t>
      </w:r>
    </w:p>
    <w:p>
      <w:pPr>
        <w:spacing w:line="360" w:lineRule="auto"/>
      </w:pPr>
      <w:bookmarkStart w:id="88" w:name="_Toc417543326"/>
      <w:bookmarkStart w:id="89" w:name="_Toc382834818"/>
      <w:bookmarkStart w:id="90" w:name="_Toc421802286"/>
      <w:bookmarkStart w:id="91" w:name="_Toc413328534"/>
      <w:bookmarkStart w:id="92" w:name="_Toc417400239"/>
      <w:r>
        <w:rPr>
          <w:rFonts w:hint="eastAsia"/>
        </w:rPr>
        <w:t>审计报告应包括审计结论、资产负债表、损益表（或利润及利润分配表）、现金流量表，损益表（或利润及利润分配表）。</w:t>
      </w:r>
      <w:r>
        <w:t>（复印件须加盖</w:t>
      </w:r>
      <w:r>
        <w:rPr>
          <w:rFonts w:hint="eastAsia"/>
        </w:rPr>
        <w:t>供应商</w:t>
      </w:r>
      <w:r>
        <w:t>公章）</w:t>
      </w:r>
      <w:bookmarkEnd w:id="88"/>
      <w:bookmarkEnd w:id="89"/>
      <w:bookmarkEnd w:id="90"/>
      <w:bookmarkEnd w:id="91"/>
      <w:bookmarkEnd w:id="92"/>
    </w:p>
    <w:p>
      <w:r>
        <w:rPr>
          <w:rFonts w:hint="eastAsia"/>
        </w:rPr>
        <w:t>银行资信证明系指银行为证明供应商的信誉情况良好的证明，非存款证明。该证明应用银行专用信纸书就，并须由银行授权代表合格签署并加盖银行公章。开标日前三个月内银行开具的资信证明原件或该原件的复印件均为有效。</w:t>
      </w:r>
    </w:p>
    <w:p>
      <w:r>
        <w:br w:type="page"/>
      </w:r>
      <w:r>
        <w:rPr>
          <w:rFonts w:hint="eastAsia"/>
        </w:rPr>
        <w:t>（六）供应商依法缴纳税收和社保证明</w:t>
      </w:r>
    </w:p>
    <w:p>
      <w:pPr>
        <w:spacing w:line="360" w:lineRule="auto"/>
      </w:pPr>
      <w:r>
        <w:rPr>
          <w:rFonts w:hint="eastAsia"/>
        </w:rPr>
        <w:t>提供供应商近三个月的依法缴纳税收的完税凭证和社会保险基金缴纳记录的复印件。</w:t>
      </w:r>
    </w:p>
    <w:p>
      <w:pPr>
        <w:spacing w:line="360" w:lineRule="auto"/>
      </w:pPr>
    </w:p>
    <w:p>
      <w:pPr>
        <w:tabs>
          <w:tab w:val="left" w:pos="142"/>
        </w:tabs>
        <w:adjustRightInd/>
        <w:snapToGrid/>
        <w:spacing w:line="240" w:lineRule="auto"/>
        <w:ind w:firstLine="0" w:firstLineChars="0"/>
      </w:pPr>
      <w:r>
        <w:br w:type="page"/>
      </w:r>
      <w:r>
        <w:rPr>
          <w:rFonts w:hint="eastAsia"/>
        </w:rPr>
        <w:t>（七）参加政府采购活动前三年内，在经营活动中没有重大违法记录的声明</w:t>
      </w:r>
    </w:p>
    <w:p>
      <w:pPr>
        <w:pStyle w:val="75"/>
        <w:spacing w:line="360" w:lineRule="auto"/>
        <w:ind w:firstLine="480" w:firstLineChars="200"/>
        <w:jc w:val="center"/>
        <w:rPr>
          <w:rFonts w:hAnsi="宋体"/>
          <w:sz w:val="24"/>
          <w:szCs w:val="24"/>
        </w:rPr>
      </w:pPr>
    </w:p>
    <w:p>
      <w:pPr>
        <w:pStyle w:val="75"/>
        <w:spacing w:line="360" w:lineRule="auto"/>
        <w:ind w:firstLine="480" w:firstLineChars="200"/>
        <w:jc w:val="center"/>
        <w:rPr>
          <w:rFonts w:hAnsi="宋体"/>
          <w:sz w:val="24"/>
          <w:szCs w:val="24"/>
        </w:rPr>
      </w:pPr>
      <w:r>
        <w:rPr>
          <w:rFonts w:hint="eastAsia" w:hAnsi="宋体"/>
          <w:sz w:val="24"/>
          <w:szCs w:val="24"/>
        </w:rPr>
        <w:t>声明(格式)</w:t>
      </w:r>
    </w:p>
    <w:p>
      <w:pPr>
        <w:pStyle w:val="75"/>
        <w:spacing w:line="360" w:lineRule="auto"/>
        <w:ind w:firstLine="480" w:firstLineChars="200"/>
        <w:jc w:val="center"/>
        <w:rPr>
          <w:rFonts w:hAnsi="宋体"/>
          <w:sz w:val="24"/>
          <w:szCs w:val="24"/>
        </w:rPr>
      </w:pPr>
    </w:p>
    <w:p>
      <w:pPr>
        <w:pStyle w:val="75"/>
        <w:spacing w:line="360" w:lineRule="auto"/>
        <w:ind w:firstLine="480" w:firstLineChars="200"/>
        <w:rPr>
          <w:rFonts w:hAnsi="宋体"/>
          <w:sz w:val="24"/>
          <w:szCs w:val="24"/>
        </w:rPr>
      </w:pPr>
      <w:r>
        <w:rPr>
          <w:rFonts w:hint="eastAsia" w:hAnsi="宋体"/>
          <w:sz w:val="24"/>
          <w:szCs w:val="24"/>
        </w:rPr>
        <w:t>我公司</w:t>
      </w:r>
      <w:r>
        <w:rPr>
          <w:rFonts w:hAnsi="宋体"/>
          <w:sz w:val="24"/>
          <w:szCs w:val="24"/>
        </w:rPr>
        <w:t>近</w:t>
      </w:r>
      <w:r>
        <w:rPr>
          <w:rFonts w:hint="eastAsia" w:hAnsi="宋体"/>
          <w:sz w:val="24"/>
          <w:szCs w:val="24"/>
        </w:rPr>
        <w:t>三</w:t>
      </w:r>
      <w:r>
        <w:rPr>
          <w:rFonts w:hAnsi="宋体"/>
          <w:sz w:val="24"/>
          <w:szCs w:val="24"/>
        </w:rPr>
        <w:t>年</w:t>
      </w:r>
      <w:r>
        <w:rPr>
          <w:rFonts w:hint="eastAsia" w:hAnsi="宋体"/>
          <w:sz w:val="24"/>
          <w:szCs w:val="24"/>
        </w:rPr>
        <w:t>在参加政府采</w:t>
      </w:r>
      <w:bookmarkStart w:id="93" w:name="_Toc324696992"/>
      <w:bookmarkStart w:id="94" w:name="_Toc325446141"/>
      <w:bookmarkStart w:id="95" w:name="_Toc331412514"/>
      <w:bookmarkStart w:id="96" w:name="_Toc331400554"/>
      <w:bookmarkStart w:id="97" w:name="_Toc328602777"/>
      <w:bookmarkStart w:id="98" w:name="_Toc325383415"/>
      <w:r>
        <w:rPr>
          <w:rFonts w:hint="eastAsia" w:hAnsi="宋体"/>
          <w:sz w:val="24"/>
          <w:szCs w:val="24"/>
        </w:rPr>
        <w:t>购活动和正常经营活动中</w:t>
      </w:r>
      <w:r>
        <w:rPr>
          <w:rFonts w:hint="eastAsia" w:hAnsi="宋体"/>
          <w:sz w:val="24"/>
          <w:szCs w:val="24"/>
          <w:u w:val="single"/>
        </w:rPr>
        <w:t xml:space="preserve">   （</w:t>
      </w:r>
      <w:r>
        <w:rPr>
          <w:rFonts w:hint="eastAsia" w:hAnsi="宋体"/>
          <w:sz w:val="24"/>
          <w:szCs w:val="24"/>
        </w:rPr>
        <w:t>有/无）被行业监督部门、纪</w:t>
      </w:r>
      <w:bookmarkEnd w:id="93"/>
      <w:bookmarkEnd w:id="94"/>
      <w:bookmarkEnd w:id="95"/>
      <w:bookmarkEnd w:id="96"/>
      <w:bookmarkEnd w:id="97"/>
      <w:bookmarkEnd w:id="98"/>
      <w:r>
        <w:rPr>
          <w:rFonts w:hint="eastAsia" w:hAnsi="宋体"/>
          <w:sz w:val="24"/>
          <w:szCs w:val="24"/>
        </w:rPr>
        <w:t>检部门、审计部门重大违规记录。</w:t>
      </w:r>
    </w:p>
    <w:p>
      <w:pPr>
        <w:pStyle w:val="75"/>
        <w:spacing w:line="360" w:lineRule="auto"/>
        <w:ind w:firstLine="480" w:firstLineChars="200"/>
        <w:rPr>
          <w:rFonts w:hAnsi="宋体"/>
          <w:sz w:val="24"/>
          <w:szCs w:val="24"/>
        </w:rPr>
      </w:pPr>
      <w:r>
        <w:rPr>
          <w:rFonts w:hint="eastAsia" w:hAnsi="宋体"/>
          <w:sz w:val="24"/>
          <w:szCs w:val="24"/>
        </w:rPr>
        <w:t>（请如实回答，如有，请详细列明）。</w:t>
      </w:r>
    </w:p>
    <w:p>
      <w:pPr>
        <w:pStyle w:val="75"/>
        <w:spacing w:line="360" w:lineRule="auto"/>
        <w:ind w:firstLine="480" w:firstLineChars="200"/>
        <w:rPr>
          <w:rFonts w:hAnsi="宋体"/>
          <w:sz w:val="24"/>
          <w:szCs w:val="24"/>
        </w:rPr>
      </w:pPr>
    </w:p>
    <w:p>
      <w:pPr>
        <w:pStyle w:val="75"/>
        <w:spacing w:line="360" w:lineRule="auto"/>
        <w:ind w:firstLine="480" w:firstLineChars="200"/>
        <w:rPr>
          <w:rFonts w:hAnsi="宋体"/>
          <w:sz w:val="24"/>
          <w:szCs w:val="24"/>
        </w:rPr>
      </w:pPr>
      <w:r>
        <w:rPr>
          <w:rFonts w:hint="eastAsia" w:hAnsi="宋体"/>
          <w:sz w:val="24"/>
          <w:szCs w:val="24"/>
        </w:rPr>
        <w:t>如果与事实不符，我公司愿意接受评标委员会按废标处理的决定。特此声明。</w:t>
      </w:r>
    </w:p>
    <w:p>
      <w:pPr>
        <w:pStyle w:val="75"/>
        <w:spacing w:line="360" w:lineRule="auto"/>
        <w:ind w:firstLine="480" w:firstLineChars="200"/>
        <w:rPr>
          <w:rFonts w:hAnsi="宋体"/>
          <w:sz w:val="24"/>
          <w:szCs w:val="24"/>
        </w:rPr>
      </w:pPr>
    </w:p>
    <w:p>
      <w:pPr>
        <w:pStyle w:val="75"/>
        <w:spacing w:line="360" w:lineRule="auto"/>
        <w:ind w:firstLine="480" w:firstLineChars="200"/>
        <w:rPr>
          <w:rFonts w:hAnsi="宋体"/>
          <w:sz w:val="24"/>
          <w:szCs w:val="24"/>
        </w:rPr>
      </w:pPr>
    </w:p>
    <w:p>
      <w:pPr>
        <w:spacing w:line="360" w:lineRule="auto"/>
        <w:ind w:firstLine="480"/>
        <w:rPr>
          <w:sz w:val="24"/>
          <w:u w:val="single"/>
        </w:rPr>
      </w:pPr>
      <w:r>
        <w:rPr>
          <w:rFonts w:hint="eastAsia"/>
          <w:sz w:val="24"/>
        </w:rPr>
        <w:t>供应商</w:t>
      </w:r>
      <w:r>
        <w:rPr>
          <w:sz w:val="24"/>
        </w:rPr>
        <w:t>：</w:t>
      </w:r>
      <w:r>
        <w:rPr>
          <w:sz w:val="24"/>
          <w:u w:val="single"/>
        </w:rPr>
        <w:t xml:space="preserve">           （盖章）</w:t>
      </w:r>
    </w:p>
    <w:p>
      <w:pPr>
        <w:spacing w:line="360" w:lineRule="auto"/>
        <w:ind w:firstLine="480"/>
        <w:rPr>
          <w:sz w:val="24"/>
          <w:u w:val="single"/>
        </w:rPr>
      </w:pPr>
    </w:p>
    <w:p>
      <w:pPr>
        <w:spacing w:line="360" w:lineRule="auto"/>
        <w:ind w:firstLine="480"/>
        <w:rPr>
          <w:sz w:val="24"/>
        </w:rPr>
      </w:pPr>
      <w:r>
        <w:rPr>
          <w:sz w:val="24"/>
        </w:rPr>
        <w:t>单位负责人或其</w:t>
      </w:r>
      <w:r>
        <w:rPr>
          <w:rFonts w:hint="eastAsia"/>
          <w:sz w:val="24"/>
        </w:rPr>
        <w:t>授权代表</w:t>
      </w:r>
      <w:r>
        <w:rPr>
          <w:sz w:val="24"/>
        </w:rPr>
        <w:t>：</w:t>
      </w:r>
      <w:r>
        <w:rPr>
          <w:sz w:val="24"/>
          <w:u w:val="single"/>
        </w:rPr>
        <w:t xml:space="preserve">       （签字）</w:t>
      </w:r>
    </w:p>
    <w:p>
      <w:pPr>
        <w:ind w:firstLine="480"/>
        <w:rPr>
          <w:sz w:val="24"/>
          <w:u w:val="single"/>
        </w:rPr>
      </w:pPr>
    </w:p>
    <w:p>
      <w:pPr>
        <w:ind w:firstLine="480"/>
        <w:rPr>
          <w:sz w:val="24"/>
          <w:u w:val="single"/>
        </w:rPr>
      </w:pPr>
      <w:r>
        <w:rPr>
          <w:sz w:val="24"/>
        </w:rPr>
        <w:t>日期：</w:t>
      </w:r>
      <w:r>
        <w:rPr>
          <w:rFonts w:hint="eastAsia"/>
          <w:sz w:val="24"/>
        </w:rPr>
        <w:t xml:space="preserve">  年 月 日</w:t>
      </w:r>
    </w:p>
    <w:p>
      <w:pPr>
        <w:pStyle w:val="26"/>
        <w:ind w:firstLine="480"/>
        <w:jc w:val="both"/>
        <w:outlineLvl w:val="9"/>
        <w:rPr>
          <w:rFonts w:ascii="宋体" w:hAnsi="宋体"/>
          <w:sz w:val="24"/>
          <w:lang w:val="en-US"/>
        </w:rPr>
      </w:pPr>
    </w:p>
    <w:p>
      <w:pPr>
        <w:ind w:firstLine="0" w:firstLineChars="0"/>
      </w:pPr>
      <w:r>
        <w:rPr>
          <w:rFonts w:hint="eastAsia"/>
        </w:rPr>
        <w:t>后附信用查询记录，查询渠道：“中国政府采购网”(www.ccgp.gov.cn)政府采购严重违法失信行为信息记录。信用信息查询截止时点：不早于2022年</w:t>
      </w:r>
      <w:r>
        <w:t>6</w:t>
      </w:r>
      <w:r>
        <w:rPr>
          <w:rFonts w:hint="eastAsia"/>
        </w:rPr>
        <w:t>月</w:t>
      </w:r>
      <w:r>
        <w:t>13</w:t>
      </w:r>
      <w:r>
        <w:rPr>
          <w:rFonts w:hint="eastAsia"/>
        </w:rPr>
        <w:t>日；信用信息查询记录和证据应采用截屏等截屏等可实现留痕的方式留存，此处附复印件加盖公章。</w:t>
      </w:r>
    </w:p>
    <w:p>
      <w:pPr>
        <w:ind w:firstLine="0" w:firstLineChars="0"/>
      </w:pPr>
    </w:p>
    <w:p>
      <w:r>
        <w:br w:type="page"/>
      </w:r>
      <w:r>
        <w:rPr>
          <w:rFonts w:hint="eastAsia"/>
        </w:rPr>
        <w:t>（八）竞争性谈判采购文件要求提供的其他证明材料</w:t>
      </w:r>
    </w:p>
    <w:p>
      <w:pPr>
        <w:pStyle w:val="4"/>
        <w:ind w:firstLine="0" w:firstLineChars="0"/>
        <w:rPr>
          <w:rFonts w:eastAsia="宋体"/>
        </w:rPr>
      </w:pPr>
      <w:r>
        <w:rPr>
          <w:rFonts w:eastAsia="宋体"/>
          <w:sz w:val="32"/>
          <w:szCs w:val="32"/>
        </w:rPr>
        <w:br w:type="page"/>
      </w:r>
      <w:bookmarkStart w:id="99" w:name="_Toc5236"/>
      <w:r>
        <w:rPr>
          <w:rFonts w:hint="eastAsia" w:eastAsia="宋体"/>
        </w:rPr>
        <w:t>六、</w:t>
      </w:r>
      <w:r>
        <w:rPr>
          <w:rFonts w:eastAsia="宋体"/>
        </w:rPr>
        <w:t>成功实施过类似项目业绩或合同（格式）</w:t>
      </w:r>
      <w:bookmarkEnd w:id="84"/>
      <w:bookmarkEnd w:id="99"/>
    </w:p>
    <w:p/>
    <w:tbl>
      <w:tblPr>
        <w:tblStyle w:val="3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2672"/>
        <w:gridCol w:w="1453"/>
        <w:gridCol w:w="1571"/>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350" w:type="dxa"/>
            <w:vAlign w:val="center"/>
          </w:tcPr>
          <w:p>
            <w:pPr>
              <w:ind w:firstLine="0" w:firstLineChars="0"/>
              <w:jc w:val="center"/>
              <w:rPr>
                <w:b/>
                <w:bCs/>
                <w:sz w:val="24"/>
                <w:szCs w:val="24"/>
              </w:rPr>
            </w:pPr>
            <w:r>
              <w:rPr>
                <w:b/>
                <w:bCs/>
                <w:sz w:val="24"/>
                <w:szCs w:val="24"/>
              </w:rPr>
              <w:t>序号</w:t>
            </w:r>
          </w:p>
        </w:tc>
        <w:tc>
          <w:tcPr>
            <w:tcW w:w="2672" w:type="dxa"/>
            <w:vAlign w:val="center"/>
          </w:tcPr>
          <w:p>
            <w:pPr>
              <w:ind w:firstLine="0" w:firstLineChars="0"/>
              <w:jc w:val="center"/>
              <w:rPr>
                <w:b/>
                <w:bCs/>
                <w:sz w:val="24"/>
                <w:szCs w:val="24"/>
              </w:rPr>
            </w:pPr>
            <w:r>
              <w:rPr>
                <w:b/>
                <w:bCs/>
                <w:sz w:val="24"/>
                <w:szCs w:val="24"/>
              </w:rPr>
              <w:t>项目名称</w:t>
            </w:r>
          </w:p>
        </w:tc>
        <w:tc>
          <w:tcPr>
            <w:tcW w:w="1453" w:type="dxa"/>
            <w:vAlign w:val="center"/>
          </w:tcPr>
          <w:p>
            <w:pPr>
              <w:ind w:firstLine="0" w:firstLineChars="0"/>
              <w:jc w:val="center"/>
              <w:rPr>
                <w:b/>
                <w:bCs/>
                <w:sz w:val="24"/>
                <w:szCs w:val="24"/>
              </w:rPr>
            </w:pPr>
            <w:r>
              <w:rPr>
                <w:rFonts w:hint="eastAsia"/>
                <w:b/>
                <w:bCs/>
                <w:sz w:val="24"/>
                <w:szCs w:val="24"/>
              </w:rPr>
              <w:t>项目</w:t>
            </w:r>
            <w:r>
              <w:rPr>
                <w:b/>
                <w:bCs/>
                <w:sz w:val="24"/>
                <w:szCs w:val="24"/>
              </w:rPr>
              <w:t>金额</w:t>
            </w:r>
          </w:p>
        </w:tc>
        <w:tc>
          <w:tcPr>
            <w:tcW w:w="1571" w:type="dxa"/>
            <w:vAlign w:val="center"/>
          </w:tcPr>
          <w:p>
            <w:pPr>
              <w:ind w:firstLine="0" w:firstLineChars="0"/>
              <w:jc w:val="center"/>
              <w:rPr>
                <w:b/>
                <w:bCs/>
                <w:sz w:val="24"/>
                <w:szCs w:val="24"/>
              </w:rPr>
            </w:pPr>
            <w:r>
              <w:rPr>
                <w:rFonts w:hint="eastAsia"/>
                <w:b/>
                <w:bCs/>
                <w:sz w:val="24"/>
                <w:szCs w:val="24"/>
              </w:rPr>
              <w:t>项目服务时间</w:t>
            </w:r>
          </w:p>
        </w:tc>
        <w:tc>
          <w:tcPr>
            <w:tcW w:w="1674" w:type="dxa"/>
            <w:vAlign w:val="center"/>
          </w:tcPr>
          <w:p>
            <w:pPr>
              <w:ind w:firstLine="0" w:firstLineChars="0"/>
              <w:jc w:val="center"/>
              <w:rPr>
                <w:b/>
                <w:bCs/>
                <w:sz w:val="24"/>
                <w:szCs w:val="24"/>
              </w:rPr>
            </w:pPr>
            <w:r>
              <w:rPr>
                <w:b/>
                <w:bCs/>
                <w:sz w:val="24"/>
                <w:szCs w:val="24"/>
              </w:rPr>
              <w:t>业主</w:t>
            </w:r>
            <w:r>
              <w:rPr>
                <w:rFonts w:hint="eastAsia"/>
                <w:b/>
                <w:bCs/>
                <w:sz w:val="24"/>
                <w:szCs w:val="24"/>
              </w:rPr>
              <w:t>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350" w:type="dxa"/>
            <w:vAlign w:val="center"/>
          </w:tcPr>
          <w:p>
            <w:pPr>
              <w:numPr>
                <w:ilvl w:val="0"/>
                <w:numId w:val="7"/>
              </w:numPr>
              <w:ind w:firstLine="0" w:firstLineChars="0"/>
              <w:rPr>
                <w:sz w:val="24"/>
                <w:szCs w:val="24"/>
              </w:rPr>
            </w:pPr>
          </w:p>
        </w:tc>
        <w:tc>
          <w:tcPr>
            <w:tcW w:w="2672" w:type="dxa"/>
            <w:vAlign w:val="center"/>
          </w:tcPr>
          <w:p>
            <w:pPr>
              <w:ind w:firstLine="0" w:firstLineChars="0"/>
              <w:rPr>
                <w:sz w:val="24"/>
                <w:szCs w:val="24"/>
              </w:rPr>
            </w:pPr>
          </w:p>
        </w:tc>
        <w:tc>
          <w:tcPr>
            <w:tcW w:w="1453" w:type="dxa"/>
            <w:vAlign w:val="center"/>
          </w:tcPr>
          <w:p>
            <w:pPr>
              <w:ind w:firstLine="0" w:firstLineChars="0"/>
              <w:rPr>
                <w:sz w:val="24"/>
                <w:szCs w:val="24"/>
              </w:rPr>
            </w:pPr>
          </w:p>
        </w:tc>
        <w:tc>
          <w:tcPr>
            <w:tcW w:w="1571" w:type="dxa"/>
            <w:vAlign w:val="center"/>
          </w:tcPr>
          <w:p>
            <w:pPr>
              <w:ind w:firstLine="0" w:firstLineChars="0"/>
              <w:rPr>
                <w:sz w:val="24"/>
                <w:szCs w:val="24"/>
              </w:rPr>
            </w:pPr>
          </w:p>
        </w:tc>
        <w:tc>
          <w:tcPr>
            <w:tcW w:w="1674" w:type="dxa"/>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350" w:type="dxa"/>
            <w:vAlign w:val="center"/>
          </w:tcPr>
          <w:p>
            <w:pPr>
              <w:numPr>
                <w:ilvl w:val="0"/>
                <w:numId w:val="7"/>
              </w:numPr>
              <w:ind w:firstLine="0" w:firstLineChars="0"/>
              <w:rPr>
                <w:sz w:val="24"/>
                <w:szCs w:val="24"/>
              </w:rPr>
            </w:pPr>
          </w:p>
        </w:tc>
        <w:tc>
          <w:tcPr>
            <w:tcW w:w="2672" w:type="dxa"/>
            <w:vAlign w:val="center"/>
          </w:tcPr>
          <w:p>
            <w:pPr>
              <w:ind w:firstLine="0" w:firstLineChars="0"/>
              <w:rPr>
                <w:sz w:val="24"/>
                <w:szCs w:val="24"/>
              </w:rPr>
            </w:pPr>
          </w:p>
        </w:tc>
        <w:tc>
          <w:tcPr>
            <w:tcW w:w="1453" w:type="dxa"/>
            <w:vAlign w:val="center"/>
          </w:tcPr>
          <w:p>
            <w:pPr>
              <w:ind w:firstLine="0" w:firstLineChars="0"/>
              <w:rPr>
                <w:sz w:val="24"/>
                <w:szCs w:val="24"/>
              </w:rPr>
            </w:pPr>
          </w:p>
        </w:tc>
        <w:tc>
          <w:tcPr>
            <w:tcW w:w="1571" w:type="dxa"/>
            <w:vAlign w:val="center"/>
          </w:tcPr>
          <w:p>
            <w:pPr>
              <w:ind w:firstLine="0" w:firstLineChars="0"/>
              <w:rPr>
                <w:sz w:val="24"/>
                <w:szCs w:val="24"/>
              </w:rPr>
            </w:pPr>
          </w:p>
        </w:tc>
        <w:tc>
          <w:tcPr>
            <w:tcW w:w="1674" w:type="dxa"/>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350" w:type="dxa"/>
            <w:vAlign w:val="center"/>
          </w:tcPr>
          <w:p>
            <w:pPr>
              <w:numPr>
                <w:ilvl w:val="0"/>
                <w:numId w:val="7"/>
              </w:numPr>
              <w:ind w:firstLine="0" w:firstLineChars="0"/>
              <w:rPr>
                <w:sz w:val="24"/>
                <w:szCs w:val="24"/>
              </w:rPr>
            </w:pPr>
          </w:p>
        </w:tc>
        <w:tc>
          <w:tcPr>
            <w:tcW w:w="2672" w:type="dxa"/>
            <w:vAlign w:val="center"/>
          </w:tcPr>
          <w:p>
            <w:pPr>
              <w:ind w:firstLine="0" w:firstLineChars="0"/>
              <w:rPr>
                <w:sz w:val="24"/>
                <w:szCs w:val="24"/>
              </w:rPr>
            </w:pPr>
          </w:p>
        </w:tc>
        <w:tc>
          <w:tcPr>
            <w:tcW w:w="1453" w:type="dxa"/>
            <w:vAlign w:val="center"/>
          </w:tcPr>
          <w:p>
            <w:pPr>
              <w:ind w:firstLine="0" w:firstLineChars="0"/>
              <w:rPr>
                <w:sz w:val="24"/>
                <w:szCs w:val="24"/>
              </w:rPr>
            </w:pPr>
          </w:p>
        </w:tc>
        <w:tc>
          <w:tcPr>
            <w:tcW w:w="1571" w:type="dxa"/>
            <w:vAlign w:val="center"/>
          </w:tcPr>
          <w:p>
            <w:pPr>
              <w:ind w:firstLine="0" w:firstLineChars="0"/>
              <w:rPr>
                <w:sz w:val="24"/>
                <w:szCs w:val="24"/>
              </w:rPr>
            </w:pPr>
          </w:p>
        </w:tc>
        <w:tc>
          <w:tcPr>
            <w:tcW w:w="1674" w:type="dxa"/>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350" w:type="dxa"/>
            <w:vAlign w:val="center"/>
          </w:tcPr>
          <w:p>
            <w:pPr>
              <w:numPr>
                <w:ilvl w:val="0"/>
                <w:numId w:val="7"/>
              </w:numPr>
              <w:ind w:firstLine="0" w:firstLineChars="0"/>
              <w:rPr>
                <w:sz w:val="24"/>
                <w:szCs w:val="24"/>
              </w:rPr>
            </w:pPr>
          </w:p>
        </w:tc>
        <w:tc>
          <w:tcPr>
            <w:tcW w:w="2672" w:type="dxa"/>
            <w:vAlign w:val="center"/>
          </w:tcPr>
          <w:p>
            <w:pPr>
              <w:ind w:firstLine="0" w:firstLineChars="0"/>
              <w:rPr>
                <w:sz w:val="24"/>
                <w:szCs w:val="24"/>
              </w:rPr>
            </w:pPr>
          </w:p>
        </w:tc>
        <w:tc>
          <w:tcPr>
            <w:tcW w:w="1453" w:type="dxa"/>
            <w:vAlign w:val="center"/>
          </w:tcPr>
          <w:p>
            <w:pPr>
              <w:ind w:firstLine="0" w:firstLineChars="0"/>
              <w:rPr>
                <w:sz w:val="24"/>
                <w:szCs w:val="24"/>
              </w:rPr>
            </w:pPr>
          </w:p>
        </w:tc>
        <w:tc>
          <w:tcPr>
            <w:tcW w:w="1571" w:type="dxa"/>
            <w:vAlign w:val="center"/>
          </w:tcPr>
          <w:p>
            <w:pPr>
              <w:ind w:firstLine="0" w:firstLineChars="0"/>
              <w:rPr>
                <w:sz w:val="24"/>
                <w:szCs w:val="24"/>
              </w:rPr>
            </w:pPr>
          </w:p>
        </w:tc>
        <w:tc>
          <w:tcPr>
            <w:tcW w:w="1674" w:type="dxa"/>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350" w:type="dxa"/>
            <w:vAlign w:val="center"/>
          </w:tcPr>
          <w:p>
            <w:pPr>
              <w:numPr>
                <w:ilvl w:val="0"/>
                <w:numId w:val="7"/>
              </w:numPr>
              <w:ind w:firstLine="0" w:firstLineChars="0"/>
              <w:rPr>
                <w:sz w:val="24"/>
                <w:szCs w:val="24"/>
              </w:rPr>
            </w:pPr>
          </w:p>
        </w:tc>
        <w:tc>
          <w:tcPr>
            <w:tcW w:w="2672" w:type="dxa"/>
            <w:vAlign w:val="center"/>
          </w:tcPr>
          <w:p>
            <w:pPr>
              <w:ind w:firstLine="0" w:firstLineChars="0"/>
              <w:rPr>
                <w:sz w:val="24"/>
                <w:szCs w:val="24"/>
              </w:rPr>
            </w:pPr>
          </w:p>
        </w:tc>
        <w:tc>
          <w:tcPr>
            <w:tcW w:w="1453" w:type="dxa"/>
            <w:vAlign w:val="center"/>
          </w:tcPr>
          <w:p>
            <w:pPr>
              <w:ind w:firstLine="0" w:firstLineChars="0"/>
              <w:rPr>
                <w:sz w:val="24"/>
                <w:szCs w:val="24"/>
              </w:rPr>
            </w:pPr>
          </w:p>
        </w:tc>
        <w:tc>
          <w:tcPr>
            <w:tcW w:w="1571" w:type="dxa"/>
            <w:vAlign w:val="center"/>
          </w:tcPr>
          <w:p>
            <w:pPr>
              <w:ind w:firstLine="0" w:firstLineChars="0"/>
              <w:rPr>
                <w:sz w:val="24"/>
                <w:szCs w:val="24"/>
              </w:rPr>
            </w:pPr>
          </w:p>
        </w:tc>
        <w:tc>
          <w:tcPr>
            <w:tcW w:w="1674" w:type="dxa"/>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350" w:type="dxa"/>
            <w:vAlign w:val="center"/>
          </w:tcPr>
          <w:p>
            <w:pPr>
              <w:numPr>
                <w:ilvl w:val="0"/>
                <w:numId w:val="7"/>
              </w:numPr>
              <w:ind w:firstLine="0" w:firstLineChars="0"/>
              <w:rPr>
                <w:sz w:val="24"/>
                <w:szCs w:val="24"/>
              </w:rPr>
            </w:pPr>
          </w:p>
        </w:tc>
        <w:tc>
          <w:tcPr>
            <w:tcW w:w="2672" w:type="dxa"/>
            <w:vAlign w:val="center"/>
          </w:tcPr>
          <w:p>
            <w:pPr>
              <w:ind w:firstLine="0" w:firstLineChars="0"/>
              <w:rPr>
                <w:sz w:val="24"/>
                <w:szCs w:val="24"/>
              </w:rPr>
            </w:pPr>
          </w:p>
        </w:tc>
        <w:tc>
          <w:tcPr>
            <w:tcW w:w="1453" w:type="dxa"/>
            <w:vAlign w:val="center"/>
          </w:tcPr>
          <w:p>
            <w:pPr>
              <w:ind w:firstLine="0" w:firstLineChars="0"/>
              <w:rPr>
                <w:sz w:val="24"/>
                <w:szCs w:val="24"/>
              </w:rPr>
            </w:pPr>
          </w:p>
        </w:tc>
        <w:tc>
          <w:tcPr>
            <w:tcW w:w="1571" w:type="dxa"/>
            <w:vAlign w:val="center"/>
          </w:tcPr>
          <w:p>
            <w:pPr>
              <w:ind w:firstLine="0" w:firstLineChars="0"/>
              <w:rPr>
                <w:sz w:val="24"/>
                <w:szCs w:val="24"/>
              </w:rPr>
            </w:pPr>
          </w:p>
        </w:tc>
        <w:tc>
          <w:tcPr>
            <w:tcW w:w="1674" w:type="dxa"/>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350" w:type="dxa"/>
            <w:vAlign w:val="center"/>
          </w:tcPr>
          <w:p>
            <w:pPr>
              <w:numPr>
                <w:ilvl w:val="0"/>
                <w:numId w:val="7"/>
              </w:numPr>
              <w:ind w:firstLine="0" w:firstLineChars="0"/>
              <w:rPr>
                <w:sz w:val="24"/>
                <w:szCs w:val="24"/>
              </w:rPr>
            </w:pPr>
          </w:p>
        </w:tc>
        <w:tc>
          <w:tcPr>
            <w:tcW w:w="2672" w:type="dxa"/>
            <w:vAlign w:val="center"/>
          </w:tcPr>
          <w:p>
            <w:pPr>
              <w:ind w:firstLine="0" w:firstLineChars="0"/>
              <w:rPr>
                <w:sz w:val="24"/>
                <w:szCs w:val="24"/>
              </w:rPr>
            </w:pPr>
          </w:p>
        </w:tc>
        <w:tc>
          <w:tcPr>
            <w:tcW w:w="1453" w:type="dxa"/>
            <w:vAlign w:val="center"/>
          </w:tcPr>
          <w:p>
            <w:pPr>
              <w:ind w:firstLine="0" w:firstLineChars="0"/>
              <w:rPr>
                <w:sz w:val="24"/>
                <w:szCs w:val="24"/>
              </w:rPr>
            </w:pPr>
          </w:p>
        </w:tc>
        <w:tc>
          <w:tcPr>
            <w:tcW w:w="1571" w:type="dxa"/>
            <w:vAlign w:val="center"/>
          </w:tcPr>
          <w:p>
            <w:pPr>
              <w:ind w:firstLine="0" w:firstLineChars="0"/>
              <w:rPr>
                <w:sz w:val="24"/>
                <w:szCs w:val="24"/>
              </w:rPr>
            </w:pPr>
          </w:p>
        </w:tc>
        <w:tc>
          <w:tcPr>
            <w:tcW w:w="1674" w:type="dxa"/>
          </w:tcPr>
          <w:p>
            <w:pPr>
              <w:ind w:firstLine="0" w:firstLineChars="0"/>
              <w:rPr>
                <w:sz w:val="24"/>
                <w:szCs w:val="24"/>
              </w:rPr>
            </w:pPr>
          </w:p>
        </w:tc>
      </w:tr>
    </w:tbl>
    <w:p/>
    <w:p>
      <w:r>
        <w:rPr>
          <w:rFonts w:hint="eastAsia"/>
        </w:rPr>
        <w:t>单位负责人或其授权代表</w:t>
      </w:r>
      <w:r>
        <w:t>签字：</w:t>
      </w:r>
    </w:p>
    <w:p>
      <w:r>
        <w:rPr>
          <w:rFonts w:hint="eastAsia"/>
        </w:rPr>
        <w:t>供应商</w:t>
      </w:r>
      <w:r>
        <w:t>名称（盖章）：</w:t>
      </w:r>
    </w:p>
    <w:p/>
    <w:p>
      <w:r>
        <w:t>注：</w:t>
      </w:r>
    </w:p>
    <w:p>
      <w:pPr>
        <w:ind w:firstLine="0" w:firstLineChars="0"/>
      </w:pPr>
      <w:r>
        <w:rPr>
          <w:rFonts w:hint="eastAsia"/>
        </w:rPr>
        <w:t>1.</w:t>
      </w:r>
      <w:r>
        <w:t>本表中所列栏目</w:t>
      </w:r>
      <w:r>
        <w:rPr>
          <w:rFonts w:hint="eastAsia"/>
        </w:rPr>
        <w:t>供应商</w:t>
      </w:r>
      <w:r>
        <w:t>应根据工程实际填写；</w:t>
      </w:r>
    </w:p>
    <w:p>
      <w:pPr>
        <w:ind w:firstLine="0" w:firstLineChars="0"/>
      </w:pPr>
      <w:r>
        <w:rPr>
          <w:rFonts w:hint="eastAsia"/>
        </w:rPr>
        <w:t>2.</w:t>
      </w:r>
      <w:r>
        <w:t>本表可横、纵向延伸；</w:t>
      </w:r>
    </w:p>
    <w:p>
      <w:pPr>
        <w:ind w:firstLine="0" w:firstLineChars="0"/>
      </w:pPr>
      <w:r>
        <w:rPr>
          <w:rFonts w:hint="eastAsia"/>
        </w:rPr>
        <w:t>3.</w:t>
      </w:r>
      <w:r>
        <w:t>须附相关证明材料（证明材料系指合同的复印件或相关业绩证明）；未提供证明材料或证明材料不具证实效力的项目视为无效业绩。</w:t>
      </w:r>
    </w:p>
    <w:p>
      <w:r>
        <w:br w:type="page"/>
      </w:r>
    </w:p>
    <w:p>
      <w:pPr>
        <w:pStyle w:val="4"/>
        <w:ind w:firstLine="0" w:firstLineChars="0"/>
        <w:rPr>
          <w:rFonts w:eastAsia="宋体"/>
          <w:sz w:val="24"/>
        </w:rPr>
      </w:pPr>
      <w:bookmarkStart w:id="100" w:name="_Toc491149614"/>
      <w:bookmarkStart w:id="101" w:name="_Toc1105"/>
      <w:r>
        <w:rPr>
          <w:rFonts w:hint="eastAsia" w:eastAsia="宋体"/>
        </w:rPr>
        <w:t>七、服务承诺书</w:t>
      </w:r>
      <w:bookmarkEnd w:id="100"/>
      <w:bookmarkEnd w:id="101"/>
    </w:p>
    <w:p/>
    <w:p>
      <w:r>
        <w:rPr>
          <w:rFonts w:hint="eastAsia"/>
        </w:rPr>
        <w:t>（格式自拟）</w:t>
      </w:r>
    </w:p>
    <w:p/>
    <w:p/>
    <w:p/>
    <w:p/>
    <w:p/>
    <w:p/>
    <w:p/>
    <w:p/>
    <w:p/>
    <w:p/>
    <w:p/>
    <w:p/>
    <w:p/>
    <w:p/>
    <w:p/>
    <w:p/>
    <w:p/>
    <w:p/>
    <w:p/>
    <w:p/>
    <w:p/>
    <w:p/>
    <w:p/>
    <w:p>
      <w:r>
        <w:rPr>
          <w:rFonts w:hint="eastAsia"/>
        </w:rPr>
        <w:t>供应商名称</w:t>
      </w:r>
      <w:r>
        <w:t>：      (</w:t>
      </w:r>
      <w:r>
        <w:rPr>
          <w:rFonts w:hint="eastAsia"/>
        </w:rPr>
        <w:t>公</w:t>
      </w:r>
      <w:r>
        <w:t>章)</w:t>
      </w:r>
      <w:r>
        <w:rPr>
          <w:rFonts w:hint="eastAsia"/>
        </w:rPr>
        <w:t xml:space="preserve"> </w:t>
      </w:r>
    </w:p>
    <w:p>
      <w:pPr>
        <w:pStyle w:val="4"/>
        <w:ind w:firstLine="0" w:firstLineChars="0"/>
        <w:rPr>
          <w:rFonts w:eastAsia="宋体"/>
        </w:rPr>
      </w:pPr>
      <w:r>
        <w:rPr>
          <w:rFonts w:eastAsia="宋体" w:cs="宋体"/>
          <w:kern w:val="0"/>
          <w:sz w:val="24"/>
        </w:rPr>
        <w:br w:type="page"/>
      </w:r>
      <w:bookmarkStart w:id="102" w:name="_Toc491149615"/>
      <w:bookmarkStart w:id="103" w:name="_Toc18546"/>
      <w:r>
        <w:rPr>
          <w:rFonts w:hint="eastAsia" w:eastAsia="宋体"/>
        </w:rPr>
        <w:t>八、服务方案及人员配置方案</w:t>
      </w:r>
      <w:bookmarkEnd w:id="102"/>
      <w:bookmarkEnd w:id="103"/>
    </w:p>
    <w:p>
      <w:r>
        <w:rPr>
          <w:rFonts w:hint="eastAsia"/>
        </w:rPr>
        <w:t>服务方案和人员配置方案是对本次采购服务项目技术部分的主要响应部分，格式由供应商自行编写，也可单独装订成册。应至少包括：</w:t>
      </w:r>
    </w:p>
    <w:p>
      <w:pPr>
        <w:ind w:left="560" w:firstLine="0" w:firstLineChars="0"/>
      </w:pPr>
      <w:r>
        <w:rPr>
          <w:rFonts w:hint="eastAsia"/>
        </w:rPr>
        <w:t>1.总体方案</w:t>
      </w:r>
    </w:p>
    <w:p>
      <w:pPr>
        <w:ind w:left="560" w:firstLine="0" w:firstLineChars="0"/>
      </w:pPr>
      <w:r>
        <w:rPr>
          <w:rFonts w:hint="eastAsia"/>
        </w:rPr>
        <w:t>2.</w:t>
      </w:r>
      <w:r>
        <w:t>实施方案</w:t>
      </w:r>
      <w:r>
        <w:rPr>
          <w:rFonts w:hint="eastAsia"/>
        </w:rPr>
        <w:t>：</w:t>
      </w:r>
      <w:r>
        <w:t>针对服务内容要求</w:t>
      </w:r>
      <w:r>
        <w:rPr>
          <w:rFonts w:hint="eastAsia"/>
        </w:rPr>
        <w:t>，提供各项服务工作具体的方案</w:t>
      </w:r>
    </w:p>
    <w:p>
      <w:pPr>
        <w:ind w:left="560" w:firstLine="0" w:firstLineChars="0"/>
      </w:pPr>
      <w:r>
        <w:rPr>
          <w:rFonts w:hint="eastAsia"/>
        </w:rPr>
        <w:t>3.根据招标文件提供的其他技术文件</w:t>
      </w:r>
    </w:p>
    <w:p/>
    <w:p>
      <w:pPr>
        <w:pStyle w:val="5"/>
        <w:ind w:firstLine="0" w:firstLineChars="0"/>
      </w:pPr>
      <w:r>
        <w:rPr>
          <w:sz w:val="32"/>
          <w:szCs w:val="32"/>
        </w:rPr>
        <w:br w:type="page"/>
      </w:r>
      <w:bookmarkStart w:id="104" w:name="_Toc15768"/>
      <w:r>
        <w:rPr>
          <w:rFonts w:hint="eastAsia"/>
        </w:rPr>
        <w:t>附表一：</w:t>
      </w:r>
      <w:r>
        <w:t>本单位拟投入本项目</w:t>
      </w:r>
      <w:r>
        <w:rPr>
          <w:rFonts w:hint="eastAsia"/>
        </w:rPr>
        <w:t>的主要专业人员</w:t>
      </w:r>
      <w:r>
        <w:t>情况表</w:t>
      </w:r>
      <w:bookmarkEnd w:id="104"/>
    </w:p>
    <w:tbl>
      <w:tblPr>
        <w:tblStyle w:val="3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83"/>
        <w:gridCol w:w="788"/>
        <w:gridCol w:w="647"/>
        <w:gridCol w:w="649"/>
        <w:gridCol w:w="647"/>
        <w:gridCol w:w="647"/>
        <w:gridCol w:w="682"/>
        <w:gridCol w:w="85"/>
        <w:gridCol w:w="947"/>
        <w:gridCol w:w="1074"/>
        <w:gridCol w:w="136"/>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720" w:type="dxa"/>
            <w:gridSpan w:val="13"/>
            <w:vAlign w:val="center"/>
          </w:tcPr>
          <w:p>
            <w:pPr>
              <w:ind w:firstLine="0" w:firstLineChars="0"/>
              <w:rPr>
                <w:sz w:val="24"/>
                <w:szCs w:val="24"/>
              </w:rPr>
            </w:pPr>
            <w:r>
              <w:rPr>
                <w:sz w:val="24"/>
                <w:szCs w:val="24"/>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47" w:type="dxa"/>
            <w:vAlign w:val="center"/>
          </w:tcPr>
          <w:p>
            <w:pPr>
              <w:ind w:firstLine="0" w:firstLineChars="0"/>
              <w:rPr>
                <w:sz w:val="24"/>
                <w:szCs w:val="24"/>
              </w:rPr>
            </w:pPr>
            <w:r>
              <w:rPr>
                <w:sz w:val="24"/>
                <w:szCs w:val="24"/>
              </w:rPr>
              <w:t>姓名</w:t>
            </w:r>
          </w:p>
        </w:tc>
        <w:tc>
          <w:tcPr>
            <w:tcW w:w="971" w:type="dxa"/>
            <w:gridSpan w:val="2"/>
            <w:vAlign w:val="center"/>
          </w:tcPr>
          <w:p>
            <w:pPr>
              <w:ind w:firstLine="0" w:firstLineChars="0"/>
              <w:rPr>
                <w:sz w:val="24"/>
                <w:szCs w:val="24"/>
              </w:rPr>
            </w:pPr>
          </w:p>
        </w:tc>
        <w:tc>
          <w:tcPr>
            <w:tcW w:w="647" w:type="dxa"/>
            <w:vAlign w:val="center"/>
          </w:tcPr>
          <w:p>
            <w:pPr>
              <w:ind w:firstLine="0" w:firstLineChars="0"/>
              <w:rPr>
                <w:sz w:val="24"/>
                <w:szCs w:val="24"/>
              </w:rPr>
            </w:pPr>
            <w:r>
              <w:rPr>
                <w:sz w:val="24"/>
                <w:szCs w:val="24"/>
              </w:rPr>
              <w:t>性别</w:t>
            </w:r>
          </w:p>
        </w:tc>
        <w:tc>
          <w:tcPr>
            <w:tcW w:w="649" w:type="dxa"/>
            <w:vAlign w:val="center"/>
          </w:tcPr>
          <w:p>
            <w:pPr>
              <w:ind w:firstLine="0" w:firstLineChars="0"/>
              <w:rPr>
                <w:sz w:val="24"/>
                <w:szCs w:val="24"/>
              </w:rPr>
            </w:pPr>
          </w:p>
        </w:tc>
        <w:tc>
          <w:tcPr>
            <w:tcW w:w="647" w:type="dxa"/>
            <w:vAlign w:val="center"/>
          </w:tcPr>
          <w:p>
            <w:pPr>
              <w:ind w:firstLine="0" w:firstLineChars="0"/>
              <w:rPr>
                <w:sz w:val="24"/>
                <w:szCs w:val="24"/>
              </w:rPr>
            </w:pPr>
            <w:r>
              <w:rPr>
                <w:sz w:val="24"/>
                <w:szCs w:val="24"/>
              </w:rPr>
              <w:t>年龄</w:t>
            </w:r>
          </w:p>
        </w:tc>
        <w:tc>
          <w:tcPr>
            <w:tcW w:w="647" w:type="dxa"/>
            <w:vAlign w:val="center"/>
          </w:tcPr>
          <w:p>
            <w:pPr>
              <w:ind w:firstLine="0" w:firstLineChars="0"/>
              <w:rPr>
                <w:sz w:val="24"/>
                <w:szCs w:val="24"/>
              </w:rPr>
            </w:pPr>
          </w:p>
        </w:tc>
        <w:tc>
          <w:tcPr>
            <w:tcW w:w="767" w:type="dxa"/>
            <w:gridSpan w:val="2"/>
            <w:vAlign w:val="center"/>
          </w:tcPr>
          <w:p>
            <w:pPr>
              <w:ind w:firstLine="0" w:firstLineChars="0"/>
              <w:rPr>
                <w:sz w:val="24"/>
                <w:szCs w:val="24"/>
              </w:rPr>
            </w:pPr>
            <w:r>
              <w:rPr>
                <w:sz w:val="24"/>
                <w:szCs w:val="24"/>
              </w:rPr>
              <w:t>学位</w:t>
            </w:r>
          </w:p>
        </w:tc>
        <w:tc>
          <w:tcPr>
            <w:tcW w:w="947" w:type="dxa"/>
            <w:vAlign w:val="center"/>
          </w:tcPr>
          <w:p>
            <w:pPr>
              <w:ind w:firstLine="0" w:firstLineChars="0"/>
              <w:rPr>
                <w:sz w:val="24"/>
                <w:szCs w:val="24"/>
              </w:rPr>
            </w:pPr>
          </w:p>
        </w:tc>
        <w:tc>
          <w:tcPr>
            <w:tcW w:w="1210" w:type="dxa"/>
            <w:gridSpan w:val="2"/>
            <w:vAlign w:val="center"/>
          </w:tcPr>
          <w:p>
            <w:pPr>
              <w:ind w:firstLine="0" w:firstLineChars="0"/>
              <w:rPr>
                <w:sz w:val="24"/>
                <w:szCs w:val="24"/>
              </w:rPr>
            </w:pPr>
            <w:r>
              <w:rPr>
                <w:sz w:val="24"/>
                <w:szCs w:val="24"/>
              </w:rPr>
              <w:t>身份证号码</w:t>
            </w:r>
          </w:p>
        </w:tc>
        <w:tc>
          <w:tcPr>
            <w:tcW w:w="1588"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47" w:type="dxa"/>
            <w:vAlign w:val="center"/>
          </w:tcPr>
          <w:p>
            <w:pPr>
              <w:ind w:firstLine="0" w:firstLineChars="0"/>
              <w:rPr>
                <w:sz w:val="24"/>
                <w:szCs w:val="24"/>
              </w:rPr>
            </w:pPr>
            <w:r>
              <w:rPr>
                <w:sz w:val="24"/>
                <w:szCs w:val="24"/>
              </w:rPr>
              <w:t>职称</w:t>
            </w:r>
          </w:p>
        </w:tc>
        <w:tc>
          <w:tcPr>
            <w:tcW w:w="971" w:type="dxa"/>
            <w:gridSpan w:val="2"/>
            <w:vAlign w:val="center"/>
          </w:tcPr>
          <w:p>
            <w:pPr>
              <w:ind w:firstLine="0" w:firstLineChars="0"/>
              <w:rPr>
                <w:sz w:val="24"/>
                <w:szCs w:val="24"/>
              </w:rPr>
            </w:pPr>
          </w:p>
        </w:tc>
        <w:tc>
          <w:tcPr>
            <w:tcW w:w="1296" w:type="dxa"/>
            <w:gridSpan w:val="2"/>
            <w:vAlign w:val="center"/>
          </w:tcPr>
          <w:p>
            <w:pPr>
              <w:ind w:firstLine="0" w:firstLineChars="0"/>
              <w:rPr>
                <w:sz w:val="24"/>
                <w:szCs w:val="24"/>
              </w:rPr>
            </w:pPr>
            <w:r>
              <w:rPr>
                <w:sz w:val="24"/>
                <w:szCs w:val="24"/>
              </w:rPr>
              <w:t>在本合同</w:t>
            </w:r>
          </w:p>
          <w:p>
            <w:pPr>
              <w:ind w:firstLine="0" w:firstLineChars="0"/>
              <w:rPr>
                <w:sz w:val="24"/>
                <w:szCs w:val="24"/>
              </w:rPr>
            </w:pPr>
            <w:r>
              <w:rPr>
                <w:sz w:val="24"/>
                <w:szCs w:val="24"/>
              </w:rPr>
              <w:t>中拟任职</w:t>
            </w:r>
          </w:p>
        </w:tc>
        <w:tc>
          <w:tcPr>
            <w:tcW w:w="647" w:type="dxa"/>
            <w:vAlign w:val="center"/>
          </w:tcPr>
          <w:p>
            <w:pPr>
              <w:ind w:firstLine="0" w:firstLineChars="0"/>
              <w:rPr>
                <w:sz w:val="24"/>
                <w:szCs w:val="24"/>
              </w:rPr>
            </w:pPr>
          </w:p>
        </w:tc>
        <w:tc>
          <w:tcPr>
            <w:tcW w:w="1414" w:type="dxa"/>
            <w:gridSpan w:val="3"/>
            <w:vAlign w:val="center"/>
          </w:tcPr>
          <w:p>
            <w:pPr>
              <w:ind w:firstLine="0" w:firstLineChars="0"/>
              <w:rPr>
                <w:sz w:val="24"/>
                <w:szCs w:val="24"/>
              </w:rPr>
            </w:pPr>
            <w:r>
              <w:rPr>
                <w:sz w:val="24"/>
                <w:szCs w:val="24"/>
              </w:rPr>
              <w:t>工作年限</w:t>
            </w:r>
          </w:p>
        </w:tc>
        <w:tc>
          <w:tcPr>
            <w:tcW w:w="947" w:type="dxa"/>
            <w:vAlign w:val="center"/>
          </w:tcPr>
          <w:p>
            <w:pPr>
              <w:ind w:firstLine="0" w:firstLineChars="0"/>
              <w:rPr>
                <w:sz w:val="24"/>
                <w:szCs w:val="24"/>
              </w:rPr>
            </w:pPr>
          </w:p>
        </w:tc>
        <w:tc>
          <w:tcPr>
            <w:tcW w:w="1210" w:type="dxa"/>
            <w:gridSpan w:val="2"/>
            <w:vAlign w:val="center"/>
          </w:tcPr>
          <w:p>
            <w:pPr>
              <w:ind w:firstLine="0" w:firstLineChars="0"/>
              <w:rPr>
                <w:sz w:val="24"/>
                <w:szCs w:val="24"/>
              </w:rPr>
            </w:pPr>
            <w:r>
              <w:rPr>
                <w:rFonts w:hint="eastAsia"/>
                <w:sz w:val="24"/>
                <w:szCs w:val="24"/>
              </w:rPr>
              <w:t>在船最高任职岗位</w:t>
            </w:r>
          </w:p>
        </w:tc>
        <w:tc>
          <w:tcPr>
            <w:tcW w:w="1588"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47" w:type="dxa"/>
            <w:vAlign w:val="center"/>
          </w:tcPr>
          <w:p>
            <w:pPr>
              <w:ind w:firstLine="0" w:firstLineChars="0"/>
              <w:rPr>
                <w:sz w:val="24"/>
                <w:szCs w:val="24"/>
              </w:rPr>
            </w:pPr>
            <w:r>
              <w:rPr>
                <w:sz w:val="24"/>
                <w:szCs w:val="24"/>
              </w:rPr>
              <w:t>学历</w:t>
            </w:r>
          </w:p>
        </w:tc>
        <w:tc>
          <w:tcPr>
            <w:tcW w:w="8073" w:type="dxa"/>
            <w:gridSpan w:val="12"/>
            <w:vAlign w:val="center"/>
          </w:tcPr>
          <w:p>
            <w:pPr>
              <w:ind w:firstLine="0" w:firstLineChars="0"/>
              <w:rPr>
                <w:sz w:val="24"/>
                <w:szCs w:val="24"/>
              </w:rPr>
            </w:pPr>
            <w:r>
              <w:rPr>
                <w:sz w:val="24"/>
                <w:szCs w:val="24"/>
              </w:rPr>
              <w:t>年毕业于      （学校）       （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720" w:type="dxa"/>
            <w:gridSpan w:val="13"/>
            <w:vAlign w:val="center"/>
          </w:tcPr>
          <w:p>
            <w:pPr>
              <w:ind w:firstLine="0" w:firstLineChars="0"/>
              <w:rPr>
                <w:sz w:val="24"/>
                <w:szCs w:val="24"/>
              </w:rPr>
            </w:pPr>
            <w:r>
              <w:rPr>
                <w:sz w:val="24"/>
                <w:szCs w:val="24"/>
              </w:rPr>
              <w:t>2.</w:t>
            </w:r>
            <w:r>
              <w:rPr>
                <w:rFonts w:hint="eastAsia"/>
                <w:sz w:val="24"/>
                <w:szCs w:val="24"/>
              </w:rPr>
              <w:t>工作</w:t>
            </w:r>
            <w:r>
              <w:rPr>
                <w:sz w:val="24"/>
                <w:szCs w:val="24"/>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30" w:type="dxa"/>
            <w:gridSpan w:val="2"/>
            <w:vAlign w:val="center"/>
          </w:tcPr>
          <w:p>
            <w:pPr>
              <w:ind w:firstLine="0" w:firstLineChars="0"/>
              <w:rPr>
                <w:sz w:val="24"/>
                <w:szCs w:val="24"/>
              </w:rPr>
            </w:pPr>
            <w:r>
              <w:rPr>
                <w:sz w:val="24"/>
                <w:szCs w:val="24"/>
              </w:rPr>
              <w:t>时间</w:t>
            </w:r>
          </w:p>
        </w:tc>
        <w:tc>
          <w:tcPr>
            <w:tcW w:w="4060" w:type="dxa"/>
            <w:gridSpan w:val="6"/>
            <w:vAlign w:val="center"/>
          </w:tcPr>
          <w:p>
            <w:pPr>
              <w:ind w:firstLine="0" w:firstLineChars="0"/>
              <w:rPr>
                <w:sz w:val="24"/>
                <w:szCs w:val="24"/>
              </w:rPr>
            </w:pPr>
            <w:r>
              <w:rPr>
                <w:rFonts w:hint="eastAsia"/>
                <w:sz w:val="24"/>
                <w:szCs w:val="24"/>
              </w:rPr>
              <w:t>工作单位</w:t>
            </w:r>
          </w:p>
        </w:tc>
        <w:tc>
          <w:tcPr>
            <w:tcW w:w="2106" w:type="dxa"/>
            <w:gridSpan w:val="3"/>
            <w:vAlign w:val="center"/>
          </w:tcPr>
          <w:p>
            <w:pPr>
              <w:ind w:firstLine="0" w:firstLineChars="0"/>
              <w:rPr>
                <w:sz w:val="24"/>
                <w:szCs w:val="24"/>
              </w:rPr>
            </w:pPr>
            <w:r>
              <w:rPr>
                <w:rFonts w:hint="eastAsia"/>
                <w:sz w:val="24"/>
                <w:szCs w:val="24"/>
              </w:rPr>
              <w:t>职务</w:t>
            </w:r>
          </w:p>
        </w:tc>
        <w:tc>
          <w:tcPr>
            <w:tcW w:w="1724" w:type="dxa"/>
            <w:gridSpan w:val="2"/>
            <w:vAlign w:val="center"/>
          </w:tcPr>
          <w:p>
            <w:pPr>
              <w:ind w:firstLine="0" w:firstLineChars="0"/>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30" w:type="dxa"/>
            <w:gridSpan w:val="2"/>
            <w:vAlign w:val="center"/>
          </w:tcPr>
          <w:p>
            <w:pPr>
              <w:ind w:firstLine="0" w:firstLineChars="0"/>
              <w:rPr>
                <w:sz w:val="24"/>
                <w:szCs w:val="24"/>
              </w:rPr>
            </w:pPr>
          </w:p>
        </w:tc>
        <w:tc>
          <w:tcPr>
            <w:tcW w:w="4060" w:type="dxa"/>
            <w:gridSpan w:val="6"/>
            <w:vAlign w:val="center"/>
          </w:tcPr>
          <w:p>
            <w:pPr>
              <w:ind w:firstLine="0" w:firstLineChars="0"/>
              <w:rPr>
                <w:sz w:val="24"/>
                <w:szCs w:val="24"/>
              </w:rPr>
            </w:pPr>
          </w:p>
        </w:tc>
        <w:tc>
          <w:tcPr>
            <w:tcW w:w="2106" w:type="dxa"/>
            <w:gridSpan w:val="3"/>
            <w:vAlign w:val="center"/>
          </w:tcPr>
          <w:p>
            <w:pPr>
              <w:ind w:firstLine="0" w:firstLineChars="0"/>
              <w:rPr>
                <w:sz w:val="24"/>
                <w:szCs w:val="24"/>
              </w:rPr>
            </w:pPr>
          </w:p>
        </w:tc>
        <w:tc>
          <w:tcPr>
            <w:tcW w:w="1724" w:type="dxa"/>
            <w:gridSpan w:val="2"/>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30" w:type="dxa"/>
            <w:gridSpan w:val="2"/>
            <w:vAlign w:val="center"/>
          </w:tcPr>
          <w:p>
            <w:pPr>
              <w:ind w:firstLine="0" w:firstLineChars="0"/>
              <w:rPr>
                <w:sz w:val="24"/>
                <w:szCs w:val="24"/>
              </w:rPr>
            </w:pPr>
          </w:p>
        </w:tc>
        <w:tc>
          <w:tcPr>
            <w:tcW w:w="4060" w:type="dxa"/>
            <w:gridSpan w:val="6"/>
            <w:vAlign w:val="center"/>
          </w:tcPr>
          <w:p>
            <w:pPr>
              <w:ind w:firstLine="0" w:firstLineChars="0"/>
              <w:rPr>
                <w:sz w:val="24"/>
                <w:szCs w:val="24"/>
              </w:rPr>
            </w:pPr>
          </w:p>
        </w:tc>
        <w:tc>
          <w:tcPr>
            <w:tcW w:w="2106" w:type="dxa"/>
            <w:gridSpan w:val="3"/>
            <w:vAlign w:val="center"/>
          </w:tcPr>
          <w:p>
            <w:pPr>
              <w:ind w:firstLine="0" w:firstLineChars="0"/>
              <w:rPr>
                <w:sz w:val="24"/>
                <w:szCs w:val="24"/>
              </w:rPr>
            </w:pPr>
          </w:p>
        </w:tc>
        <w:tc>
          <w:tcPr>
            <w:tcW w:w="1724" w:type="dxa"/>
            <w:gridSpan w:val="2"/>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30" w:type="dxa"/>
            <w:gridSpan w:val="2"/>
            <w:vAlign w:val="center"/>
          </w:tcPr>
          <w:p>
            <w:pPr>
              <w:ind w:firstLine="0" w:firstLineChars="0"/>
              <w:rPr>
                <w:sz w:val="24"/>
                <w:szCs w:val="24"/>
              </w:rPr>
            </w:pPr>
          </w:p>
        </w:tc>
        <w:tc>
          <w:tcPr>
            <w:tcW w:w="4060" w:type="dxa"/>
            <w:gridSpan w:val="6"/>
            <w:vAlign w:val="center"/>
          </w:tcPr>
          <w:p>
            <w:pPr>
              <w:ind w:firstLine="0" w:firstLineChars="0"/>
              <w:rPr>
                <w:sz w:val="24"/>
                <w:szCs w:val="24"/>
              </w:rPr>
            </w:pPr>
          </w:p>
        </w:tc>
        <w:tc>
          <w:tcPr>
            <w:tcW w:w="2106" w:type="dxa"/>
            <w:gridSpan w:val="3"/>
            <w:vAlign w:val="center"/>
          </w:tcPr>
          <w:p>
            <w:pPr>
              <w:ind w:firstLine="0" w:firstLineChars="0"/>
              <w:rPr>
                <w:sz w:val="24"/>
                <w:szCs w:val="24"/>
              </w:rPr>
            </w:pPr>
          </w:p>
        </w:tc>
        <w:tc>
          <w:tcPr>
            <w:tcW w:w="1724" w:type="dxa"/>
            <w:gridSpan w:val="2"/>
            <w:vAlign w:val="center"/>
          </w:tcPr>
          <w:p>
            <w:pPr>
              <w:ind w:firstLine="0" w:firstLineChars="0"/>
              <w:rPr>
                <w:sz w:val="24"/>
                <w:szCs w:val="24"/>
              </w:rPr>
            </w:pPr>
          </w:p>
        </w:tc>
      </w:tr>
    </w:tbl>
    <w:p>
      <w:r>
        <w:t>注：须附</w:t>
      </w:r>
      <w:r>
        <w:rPr>
          <w:rFonts w:hint="eastAsia"/>
        </w:rPr>
        <w:t>项目组主要成员</w:t>
      </w:r>
      <w:r>
        <w:t>的证明资料（包括身份证</w:t>
      </w:r>
      <w:r>
        <w:rPr>
          <w:rFonts w:hint="eastAsia"/>
        </w:rPr>
        <w:t>复印件</w:t>
      </w:r>
      <w:r>
        <w:t>、</w:t>
      </w:r>
      <w:r>
        <w:rPr>
          <w:rFonts w:hint="eastAsia"/>
        </w:rPr>
        <w:t>毕业证复印件、</w:t>
      </w:r>
      <w:r>
        <w:t>职称证</w:t>
      </w:r>
      <w:r>
        <w:rPr>
          <w:rFonts w:hint="eastAsia"/>
        </w:rPr>
        <w:t>复印件或其他资质证明的复印件等</w:t>
      </w:r>
      <w:r>
        <w:t>）。</w:t>
      </w:r>
    </w:p>
    <w:p/>
    <w:p>
      <w:pPr>
        <w:sectPr>
          <w:headerReference r:id="rId16" w:type="first"/>
          <w:footerReference r:id="rId18" w:type="first"/>
          <w:headerReference r:id="rId14" w:type="default"/>
          <w:headerReference r:id="rId15" w:type="even"/>
          <w:footerReference r:id="rId17" w:type="even"/>
          <w:pgSz w:w="11906" w:h="16838"/>
          <w:pgMar w:top="1440" w:right="1701" w:bottom="1089" w:left="1701" w:header="851" w:footer="992" w:gutter="0"/>
          <w:cols w:space="720" w:num="1"/>
          <w:docGrid w:linePitch="312" w:charSpace="0"/>
        </w:sectPr>
      </w:pPr>
    </w:p>
    <w:p>
      <w:pPr>
        <w:pStyle w:val="5"/>
        <w:ind w:firstLine="0" w:firstLineChars="0"/>
      </w:pPr>
      <w:bookmarkStart w:id="105" w:name="_Toc25463"/>
      <w:r>
        <w:rPr>
          <w:rFonts w:hint="eastAsia"/>
        </w:rPr>
        <w:t>附表二：</w:t>
      </w:r>
      <w:r>
        <w:t>本单位拟投入本</w:t>
      </w:r>
      <w:r>
        <w:rPr>
          <w:rFonts w:hint="eastAsia"/>
        </w:rPr>
        <w:t>次项目的其他</w:t>
      </w:r>
      <w:r>
        <w:t>人员一览表</w:t>
      </w:r>
      <w:bookmarkEnd w:id="105"/>
    </w:p>
    <w:p/>
    <w:tbl>
      <w:tblPr>
        <w:tblStyle w:val="34"/>
        <w:tblW w:w="14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264"/>
        <w:gridCol w:w="1113"/>
        <w:gridCol w:w="886"/>
        <w:gridCol w:w="1034"/>
        <w:gridCol w:w="2365"/>
        <w:gridCol w:w="1627"/>
        <w:gridCol w:w="2661"/>
        <w:gridCol w:w="1952"/>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836" w:type="dxa"/>
            <w:vAlign w:val="center"/>
          </w:tcPr>
          <w:p>
            <w:pPr>
              <w:ind w:firstLine="0" w:firstLineChars="0"/>
              <w:jc w:val="center"/>
              <w:rPr>
                <w:b/>
                <w:bCs/>
                <w:sz w:val="24"/>
                <w:szCs w:val="24"/>
              </w:rPr>
            </w:pPr>
            <w:r>
              <w:rPr>
                <w:b/>
                <w:bCs/>
                <w:sz w:val="24"/>
                <w:szCs w:val="24"/>
              </w:rPr>
              <w:t>序号</w:t>
            </w:r>
          </w:p>
        </w:tc>
        <w:tc>
          <w:tcPr>
            <w:tcW w:w="1264" w:type="dxa"/>
            <w:tcBorders>
              <w:bottom w:val="single" w:color="auto" w:sz="4" w:space="0"/>
            </w:tcBorders>
            <w:vAlign w:val="center"/>
          </w:tcPr>
          <w:p>
            <w:pPr>
              <w:ind w:firstLine="0" w:firstLineChars="0"/>
              <w:jc w:val="center"/>
              <w:rPr>
                <w:b/>
                <w:bCs/>
                <w:sz w:val="24"/>
                <w:szCs w:val="24"/>
              </w:rPr>
            </w:pPr>
            <w:r>
              <w:rPr>
                <w:b/>
                <w:bCs/>
                <w:sz w:val="24"/>
                <w:szCs w:val="24"/>
              </w:rPr>
              <w:t>项目组</w:t>
            </w:r>
          </w:p>
        </w:tc>
        <w:tc>
          <w:tcPr>
            <w:tcW w:w="1113" w:type="dxa"/>
            <w:vAlign w:val="center"/>
          </w:tcPr>
          <w:p>
            <w:pPr>
              <w:ind w:firstLine="0" w:firstLineChars="0"/>
              <w:jc w:val="center"/>
              <w:rPr>
                <w:b/>
                <w:bCs/>
                <w:sz w:val="24"/>
                <w:szCs w:val="24"/>
              </w:rPr>
            </w:pPr>
            <w:r>
              <w:rPr>
                <w:b/>
                <w:bCs/>
                <w:sz w:val="24"/>
                <w:szCs w:val="24"/>
              </w:rPr>
              <w:t>姓 名</w:t>
            </w:r>
          </w:p>
        </w:tc>
        <w:tc>
          <w:tcPr>
            <w:tcW w:w="886" w:type="dxa"/>
            <w:vAlign w:val="center"/>
          </w:tcPr>
          <w:p>
            <w:pPr>
              <w:ind w:firstLine="0" w:firstLineChars="0"/>
              <w:jc w:val="center"/>
              <w:rPr>
                <w:b/>
                <w:bCs/>
                <w:sz w:val="24"/>
                <w:szCs w:val="24"/>
              </w:rPr>
            </w:pPr>
            <w:r>
              <w:rPr>
                <w:b/>
                <w:bCs/>
                <w:sz w:val="24"/>
                <w:szCs w:val="24"/>
              </w:rPr>
              <w:t>年龄</w:t>
            </w:r>
          </w:p>
        </w:tc>
        <w:tc>
          <w:tcPr>
            <w:tcW w:w="1034" w:type="dxa"/>
            <w:vAlign w:val="center"/>
          </w:tcPr>
          <w:p>
            <w:pPr>
              <w:ind w:firstLine="0" w:firstLineChars="0"/>
              <w:jc w:val="center"/>
              <w:rPr>
                <w:b/>
                <w:bCs/>
                <w:sz w:val="24"/>
                <w:szCs w:val="24"/>
              </w:rPr>
            </w:pPr>
            <w:r>
              <w:rPr>
                <w:b/>
                <w:bCs/>
                <w:sz w:val="24"/>
                <w:szCs w:val="24"/>
              </w:rPr>
              <w:t>学历</w:t>
            </w:r>
          </w:p>
        </w:tc>
        <w:tc>
          <w:tcPr>
            <w:tcW w:w="2365" w:type="dxa"/>
            <w:vAlign w:val="center"/>
          </w:tcPr>
          <w:p>
            <w:pPr>
              <w:ind w:firstLine="0" w:firstLineChars="0"/>
              <w:jc w:val="center"/>
              <w:rPr>
                <w:b/>
                <w:bCs/>
                <w:sz w:val="24"/>
                <w:szCs w:val="24"/>
              </w:rPr>
            </w:pPr>
            <w:r>
              <w:rPr>
                <w:b/>
                <w:bCs/>
                <w:sz w:val="24"/>
                <w:szCs w:val="24"/>
              </w:rPr>
              <w:t>执业资格</w:t>
            </w:r>
          </w:p>
        </w:tc>
        <w:tc>
          <w:tcPr>
            <w:tcW w:w="1627" w:type="dxa"/>
            <w:vAlign w:val="center"/>
          </w:tcPr>
          <w:p>
            <w:pPr>
              <w:ind w:firstLine="0" w:firstLineChars="0"/>
              <w:jc w:val="center"/>
              <w:rPr>
                <w:b/>
                <w:bCs/>
                <w:sz w:val="24"/>
                <w:szCs w:val="24"/>
              </w:rPr>
            </w:pPr>
            <w:r>
              <w:rPr>
                <w:b/>
                <w:bCs/>
                <w:sz w:val="24"/>
                <w:szCs w:val="24"/>
              </w:rPr>
              <w:t>职 称</w:t>
            </w:r>
          </w:p>
        </w:tc>
        <w:tc>
          <w:tcPr>
            <w:tcW w:w="2661" w:type="dxa"/>
            <w:vAlign w:val="center"/>
          </w:tcPr>
          <w:p>
            <w:pPr>
              <w:ind w:firstLine="0" w:firstLineChars="0"/>
              <w:jc w:val="center"/>
              <w:rPr>
                <w:b/>
                <w:bCs/>
                <w:sz w:val="24"/>
                <w:szCs w:val="24"/>
              </w:rPr>
            </w:pPr>
            <w:r>
              <w:rPr>
                <w:b/>
                <w:bCs/>
                <w:sz w:val="24"/>
                <w:szCs w:val="24"/>
              </w:rPr>
              <w:t>主要职责</w:t>
            </w:r>
          </w:p>
        </w:tc>
        <w:tc>
          <w:tcPr>
            <w:tcW w:w="1952" w:type="dxa"/>
            <w:vAlign w:val="center"/>
          </w:tcPr>
          <w:p>
            <w:pPr>
              <w:ind w:firstLine="0" w:firstLineChars="0"/>
              <w:jc w:val="center"/>
              <w:rPr>
                <w:b/>
                <w:bCs/>
                <w:sz w:val="24"/>
                <w:szCs w:val="24"/>
              </w:rPr>
            </w:pPr>
            <w:r>
              <w:rPr>
                <w:b/>
                <w:bCs/>
                <w:sz w:val="24"/>
                <w:szCs w:val="24"/>
              </w:rPr>
              <w:t>专业</w:t>
            </w:r>
          </w:p>
        </w:tc>
        <w:tc>
          <w:tcPr>
            <w:tcW w:w="787" w:type="dxa"/>
            <w:vAlign w:val="center"/>
          </w:tcPr>
          <w:p>
            <w:pPr>
              <w:ind w:firstLine="0" w:firstLineChars="0"/>
              <w:jc w:val="center"/>
              <w:rPr>
                <w:b/>
                <w:bCs/>
                <w:sz w:val="24"/>
                <w:szCs w:val="24"/>
              </w:rPr>
            </w:pPr>
            <w:r>
              <w:rPr>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836" w:type="dxa"/>
            <w:tcBorders>
              <w:bottom w:val="single" w:color="auto" w:sz="4" w:space="0"/>
              <w:right w:val="single" w:color="auto" w:sz="4" w:space="0"/>
            </w:tcBorders>
            <w:vAlign w:val="center"/>
          </w:tcPr>
          <w:p>
            <w:pPr>
              <w:ind w:firstLine="0" w:firstLineChars="0"/>
              <w:rPr>
                <w:sz w:val="24"/>
                <w:szCs w:val="24"/>
              </w:rPr>
            </w:pPr>
            <w:r>
              <w:rPr>
                <w:sz w:val="24"/>
                <w:szCs w:val="24"/>
              </w:rPr>
              <w:t>1</w:t>
            </w:r>
          </w:p>
        </w:tc>
        <w:tc>
          <w:tcPr>
            <w:tcW w:w="1264" w:type="dxa"/>
            <w:tcBorders>
              <w:top w:val="single" w:color="auto" w:sz="4" w:space="0"/>
              <w:left w:val="single" w:color="auto" w:sz="4" w:space="0"/>
              <w:bottom w:val="single" w:color="auto" w:sz="4" w:space="0"/>
              <w:right w:val="single" w:color="auto" w:sz="4" w:space="0"/>
            </w:tcBorders>
            <w:vAlign w:val="center"/>
          </w:tcPr>
          <w:p>
            <w:pPr>
              <w:ind w:firstLine="0" w:firstLineChars="0"/>
              <w:rPr>
                <w:sz w:val="24"/>
                <w:szCs w:val="24"/>
              </w:rPr>
            </w:pPr>
            <w:r>
              <w:rPr>
                <w:sz w:val="24"/>
                <w:szCs w:val="24"/>
              </w:rPr>
              <w:t>项目</w:t>
            </w:r>
            <w:r>
              <w:rPr>
                <w:rFonts w:hint="eastAsia"/>
                <w:sz w:val="24"/>
                <w:szCs w:val="24"/>
              </w:rPr>
              <w:t>组成员</w:t>
            </w:r>
          </w:p>
        </w:tc>
        <w:tc>
          <w:tcPr>
            <w:tcW w:w="1113" w:type="dxa"/>
            <w:tcBorders>
              <w:left w:val="single" w:color="auto" w:sz="4" w:space="0"/>
            </w:tcBorders>
            <w:vAlign w:val="center"/>
          </w:tcPr>
          <w:p>
            <w:pPr>
              <w:ind w:firstLine="0" w:firstLineChars="0"/>
              <w:rPr>
                <w:sz w:val="24"/>
                <w:szCs w:val="24"/>
              </w:rPr>
            </w:pPr>
          </w:p>
        </w:tc>
        <w:tc>
          <w:tcPr>
            <w:tcW w:w="886" w:type="dxa"/>
            <w:vAlign w:val="center"/>
          </w:tcPr>
          <w:p>
            <w:pPr>
              <w:ind w:firstLine="0" w:firstLineChars="0"/>
              <w:rPr>
                <w:sz w:val="24"/>
                <w:szCs w:val="24"/>
              </w:rPr>
            </w:pPr>
          </w:p>
        </w:tc>
        <w:tc>
          <w:tcPr>
            <w:tcW w:w="1034" w:type="dxa"/>
            <w:vAlign w:val="center"/>
          </w:tcPr>
          <w:p>
            <w:pPr>
              <w:ind w:firstLine="0" w:firstLineChars="0"/>
              <w:rPr>
                <w:sz w:val="24"/>
                <w:szCs w:val="24"/>
              </w:rPr>
            </w:pPr>
          </w:p>
        </w:tc>
        <w:tc>
          <w:tcPr>
            <w:tcW w:w="2365" w:type="dxa"/>
            <w:vAlign w:val="center"/>
          </w:tcPr>
          <w:p>
            <w:pPr>
              <w:ind w:firstLine="0" w:firstLineChars="0"/>
              <w:rPr>
                <w:sz w:val="24"/>
                <w:szCs w:val="24"/>
              </w:rPr>
            </w:pPr>
          </w:p>
        </w:tc>
        <w:tc>
          <w:tcPr>
            <w:tcW w:w="1627" w:type="dxa"/>
            <w:vAlign w:val="center"/>
          </w:tcPr>
          <w:p>
            <w:pPr>
              <w:ind w:firstLine="0" w:firstLineChars="0"/>
              <w:rPr>
                <w:sz w:val="24"/>
                <w:szCs w:val="24"/>
              </w:rPr>
            </w:pPr>
          </w:p>
        </w:tc>
        <w:tc>
          <w:tcPr>
            <w:tcW w:w="2661" w:type="dxa"/>
            <w:vAlign w:val="center"/>
          </w:tcPr>
          <w:p>
            <w:pPr>
              <w:ind w:firstLine="0" w:firstLineChars="0"/>
              <w:rPr>
                <w:sz w:val="24"/>
                <w:szCs w:val="24"/>
              </w:rPr>
            </w:pPr>
          </w:p>
        </w:tc>
        <w:tc>
          <w:tcPr>
            <w:tcW w:w="1952" w:type="dxa"/>
            <w:vAlign w:val="center"/>
          </w:tcPr>
          <w:p>
            <w:pPr>
              <w:ind w:firstLine="0" w:firstLineChars="0"/>
              <w:rPr>
                <w:sz w:val="24"/>
                <w:szCs w:val="24"/>
              </w:rPr>
            </w:pPr>
          </w:p>
        </w:tc>
        <w:tc>
          <w:tcPr>
            <w:tcW w:w="787"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6" w:type="dxa"/>
            <w:tcBorders>
              <w:right w:val="single" w:color="auto" w:sz="4" w:space="0"/>
            </w:tcBorders>
            <w:vAlign w:val="center"/>
          </w:tcPr>
          <w:p>
            <w:pPr>
              <w:ind w:firstLine="0" w:firstLineChars="0"/>
              <w:rPr>
                <w:sz w:val="24"/>
                <w:szCs w:val="24"/>
              </w:rPr>
            </w:pPr>
            <w:r>
              <w:rPr>
                <w:sz w:val="24"/>
                <w:szCs w:val="24"/>
              </w:rPr>
              <w:t>2</w:t>
            </w:r>
          </w:p>
        </w:tc>
        <w:tc>
          <w:tcPr>
            <w:tcW w:w="1264" w:type="dxa"/>
            <w:tcBorders>
              <w:left w:val="single" w:color="auto" w:sz="4" w:space="0"/>
              <w:right w:val="single" w:color="auto" w:sz="4" w:space="0"/>
            </w:tcBorders>
            <w:vAlign w:val="center"/>
          </w:tcPr>
          <w:p>
            <w:pPr>
              <w:ind w:firstLine="0" w:firstLineChars="0"/>
              <w:rPr>
                <w:sz w:val="24"/>
                <w:szCs w:val="24"/>
              </w:rPr>
            </w:pPr>
          </w:p>
        </w:tc>
        <w:tc>
          <w:tcPr>
            <w:tcW w:w="1113" w:type="dxa"/>
            <w:tcBorders>
              <w:left w:val="single" w:color="auto" w:sz="4" w:space="0"/>
            </w:tcBorders>
            <w:vAlign w:val="center"/>
          </w:tcPr>
          <w:p>
            <w:pPr>
              <w:ind w:firstLine="0" w:firstLineChars="0"/>
              <w:rPr>
                <w:sz w:val="24"/>
                <w:szCs w:val="24"/>
              </w:rPr>
            </w:pPr>
          </w:p>
        </w:tc>
        <w:tc>
          <w:tcPr>
            <w:tcW w:w="886" w:type="dxa"/>
            <w:vAlign w:val="center"/>
          </w:tcPr>
          <w:p>
            <w:pPr>
              <w:ind w:firstLine="0" w:firstLineChars="0"/>
              <w:rPr>
                <w:sz w:val="24"/>
                <w:szCs w:val="24"/>
              </w:rPr>
            </w:pPr>
          </w:p>
        </w:tc>
        <w:tc>
          <w:tcPr>
            <w:tcW w:w="1034" w:type="dxa"/>
            <w:vAlign w:val="center"/>
          </w:tcPr>
          <w:p>
            <w:pPr>
              <w:ind w:firstLine="0" w:firstLineChars="0"/>
              <w:rPr>
                <w:sz w:val="24"/>
                <w:szCs w:val="24"/>
              </w:rPr>
            </w:pPr>
          </w:p>
        </w:tc>
        <w:tc>
          <w:tcPr>
            <w:tcW w:w="2365" w:type="dxa"/>
            <w:vAlign w:val="center"/>
          </w:tcPr>
          <w:p>
            <w:pPr>
              <w:ind w:firstLine="0" w:firstLineChars="0"/>
              <w:rPr>
                <w:sz w:val="24"/>
                <w:szCs w:val="24"/>
              </w:rPr>
            </w:pPr>
          </w:p>
        </w:tc>
        <w:tc>
          <w:tcPr>
            <w:tcW w:w="1627" w:type="dxa"/>
            <w:vAlign w:val="center"/>
          </w:tcPr>
          <w:p>
            <w:pPr>
              <w:ind w:firstLine="0" w:firstLineChars="0"/>
              <w:rPr>
                <w:sz w:val="24"/>
                <w:szCs w:val="24"/>
              </w:rPr>
            </w:pPr>
          </w:p>
        </w:tc>
        <w:tc>
          <w:tcPr>
            <w:tcW w:w="2661" w:type="dxa"/>
            <w:vAlign w:val="center"/>
          </w:tcPr>
          <w:p>
            <w:pPr>
              <w:ind w:firstLine="0" w:firstLineChars="0"/>
              <w:rPr>
                <w:sz w:val="24"/>
                <w:szCs w:val="24"/>
              </w:rPr>
            </w:pPr>
          </w:p>
        </w:tc>
        <w:tc>
          <w:tcPr>
            <w:tcW w:w="1952" w:type="dxa"/>
            <w:vAlign w:val="center"/>
          </w:tcPr>
          <w:p>
            <w:pPr>
              <w:ind w:firstLine="0" w:firstLineChars="0"/>
              <w:rPr>
                <w:sz w:val="24"/>
                <w:szCs w:val="24"/>
              </w:rPr>
            </w:pPr>
          </w:p>
        </w:tc>
        <w:tc>
          <w:tcPr>
            <w:tcW w:w="787"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6" w:type="dxa"/>
            <w:tcBorders>
              <w:right w:val="single" w:color="auto" w:sz="4" w:space="0"/>
            </w:tcBorders>
            <w:vAlign w:val="center"/>
          </w:tcPr>
          <w:p>
            <w:pPr>
              <w:ind w:firstLine="0" w:firstLineChars="0"/>
              <w:rPr>
                <w:sz w:val="24"/>
                <w:szCs w:val="24"/>
              </w:rPr>
            </w:pPr>
            <w:r>
              <w:rPr>
                <w:sz w:val="24"/>
                <w:szCs w:val="24"/>
              </w:rPr>
              <w:t>3</w:t>
            </w:r>
          </w:p>
        </w:tc>
        <w:tc>
          <w:tcPr>
            <w:tcW w:w="1264" w:type="dxa"/>
            <w:tcBorders>
              <w:left w:val="single" w:color="auto" w:sz="4" w:space="0"/>
              <w:right w:val="single" w:color="auto" w:sz="4" w:space="0"/>
            </w:tcBorders>
            <w:vAlign w:val="center"/>
          </w:tcPr>
          <w:p>
            <w:pPr>
              <w:ind w:firstLine="0" w:firstLineChars="0"/>
              <w:rPr>
                <w:sz w:val="24"/>
                <w:szCs w:val="24"/>
              </w:rPr>
            </w:pPr>
          </w:p>
        </w:tc>
        <w:tc>
          <w:tcPr>
            <w:tcW w:w="1113" w:type="dxa"/>
            <w:tcBorders>
              <w:left w:val="single" w:color="auto" w:sz="4" w:space="0"/>
            </w:tcBorders>
            <w:vAlign w:val="center"/>
          </w:tcPr>
          <w:p>
            <w:pPr>
              <w:ind w:firstLine="0" w:firstLineChars="0"/>
              <w:rPr>
                <w:sz w:val="24"/>
                <w:szCs w:val="24"/>
              </w:rPr>
            </w:pPr>
          </w:p>
        </w:tc>
        <w:tc>
          <w:tcPr>
            <w:tcW w:w="886" w:type="dxa"/>
            <w:vAlign w:val="center"/>
          </w:tcPr>
          <w:p>
            <w:pPr>
              <w:ind w:firstLine="0" w:firstLineChars="0"/>
              <w:rPr>
                <w:sz w:val="24"/>
                <w:szCs w:val="24"/>
              </w:rPr>
            </w:pPr>
          </w:p>
        </w:tc>
        <w:tc>
          <w:tcPr>
            <w:tcW w:w="1034" w:type="dxa"/>
            <w:vAlign w:val="center"/>
          </w:tcPr>
          <w:p>
            <w:pPr>
              <w:ind w:firstLine="0" w:firstLineChars="0"/>
              <w:rPr>
                <w:sz w:val="24"/>
                <w:szCs w:val="24"/>
              </w:rPr>
            </w:pPr>
          </w:p>
        </w:tc>
        <w:tc>
          <w:tcPr>
            <w:tcW w:w="2365" w:type="dxa"/>
            <w:vAlign w:val="center"/>
          </w:tcPr>
          <w:p>
            <w:pPr>
              <w:ind w:firstLine="0" w:firstLineChars="0"/>
              <w:rPr>
                <w:sz w:val="24"/>
                <w:szCs w:val="24"/>
              </w:rPr>
            </w:pPr>
          </w:p>
        </w:tc>
        <w:tc>
          <w:tcPr>
            <w:tcW w:w="1627" w:type="dxa"/>
            <w:vAlign w:val="center"/>
          </w:tcPr>
          <w:p>
            <w:pPr>
              <w:ind w:firstLine="0" w:firstLineChars="0"/>
              <w:rPr>
                <w:sz w:val="24"/>
                <w:szCs w:val="24"/>
              </w:rPr>
            </w:pPr>
          </w:p>
        </w:tc>
        <w:tc>
          <w:tcPr>
            <w:tcW w:w="2661" w:type="dxa"/>
            <w:vAlign w:val="center"/>
          </w:tcPr>
          <w:p>
            <w:pPr>
              <w:ind w:firstLine="0" w:firstLineChars="0"/>
              <w:rPr>
                <w:sz w:val="24"/>
                <w:szCs w:val="24"/>
              </w:rPr>
            </w:pPr>
          </w:p>
        </w:tc>
        <w:tc>
          <w:tcPr>
            <w:tcW w:w="1952" w:type="dxa"/>
            <w:vAlign w:val="center"/>
          </w:tcPr>
          <w:p>
            <w:pPr>
              <w:ind w:firstLine="0" w:firstLineChars="0"/>
              <w:rPr>
                <w:sz w:val="24"/>
                <w:szCs w:val="24"/>
              </w:rPr>
            </w:pPr>
          </w:p>
        </w:tc>
        <w:tc>
          <w:tcPr>
            <w:tcW w:w="787"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6" w:type="dxa"/>
            <w:tcBorders>
              <w:right w:val="single" w:color="auto" w:sz="4" w:space="0"/>
            </w:tcBorders>
            <w:vAlign w:val="center"/>
          </w:tcPr>
          <w:p>
            <w:pPr>
              <w:ind w:firstLine="0" w:firstLineChars="0"/>
              <w:rPr>
                <w:sz w:val="24"/>
                <w:szCs w:val="24"/>
              </w:rPr>
            </w:pPr>
            <w:r>
              <w:rPr>
                <w:sz w:val="24"/>
                <w:szCs w:val="24"/>
              </w:rPr>
              <w:t>4</w:t>
            </w:r>
          </w:p>
        </w:tc>
        <w:tc>
          <w:tcPr>
            <w:tcW w:w="1264" w:type="dxa"/>
            <w:tcBorders>
              <w:top w:val="nil"/>
              <w:left w:val="single" w:color="auto" w:sz="4" w:space="0"/>
              <w:right w:val="single" w:color="auto" w:sz="4" w:space="0"/>
            </w:tcBorders>
            <w:vAlign w:val="center"/>
          </w:tcPr>
          <w:p>
            <w:pPr>
              <w:ind w:firstLine="0" w:firstLineChars="0"/>
              <w:rPr>
                <w:sz w:val="24"/>
                <w:szCs w:val="24"/>
              </w:rPr>
            </w:pPr>
          </w:p>
        </w:tc>
        <w:tc>
          <w:tcPr>
            <w:tcW w:w="1113" w:type="dxa"/>
            <w:tcBorders>
              <w:left w:val="single" w:color="auto" w:sz="4" w:space="0"/>
            </w:tcBorders>
            <w:vAlign w:val="center"/>
          </w:tcPr>
          <w:p>
            <w:pPr>
              <w:ind w:firstLine="0" w:firstLineChars="0"/>
              <w:rPr>
                <w:sz w:val="24"/>
                <w:szCs w:val="24"/>
              </w:rPr>
            </w:pPr>
          </w:p>
        </w:tc>
        <w:tc>
          <w:tcPr>
            <w:tcW w:w="886" w:type="dxa"/>
            <w:vAlign w:val="center"/>
          </w:tcPr>
          <w:p>
            <w:pPr>
              <w:ind w:firstLine="0" w:firstLineChars="0"/>
              <w:rPr>
                <w:sz w:val="24"/>
                <w:szCs w:val="24"/>
              </w:rPr>
            </w:pPr>
          </w:p>
        </w:tc>
        <w:tc>
          <w:tcPr>
            <w:tcW w:w="1034" w:type="dxa"/>
            <w:vAlign w:val="center"/>
          </w:tcPr>
          <w:p>
            <w:pPr>
              <w:ind w:firstLine="0" w:firstLineChars="0"/>
              <w:rPr>
                <w:sz w:val="24"/>
                <w:szCs w:val="24"/>
              </w:rPr>
            </w:pPr>
          </w:p>
        </w:tc>
        <w:tc>
          <w:tcPr>
            <w:tcW w:w="2365" w:type="dxa"/>
            <w:vAlign w:val="center"/>
          </w:tcPr>
          <w:p>
            <w:pPr>
              <w:ind w:firstLine="0" w:firstLineChars="0"/>
              <w:rPr>
                <w:sz w:val="24"/>
                <w:szCs w:val="24"/>
              </w:rPr>
            </w:pPr>
          </w:p>
        </w:tc>
        <w:tc>
          <w:tcPr>
            <w:tcW w:w="1627" w:type="dxa"/>
            <w:vAlign w:val="center"/>
          </w:tcPr>
          <w:p>
            <w:pPr>
              <w:ind w:firstLine="0" w:firstLineChars="0"/>
              <w:rPr>
                <w:sz w:val="24"/>
                <w:szCs w:val="24"/>
              </w:rPr>
            </w:pPr>
          </w:p>
        </w:tc>
        <w:tc>
          <w:tcPr>
            <w:tcW w:w="2661" w:type="dxa"/>
            <w:vAlign w:val="center"/>
          </w:tcPr>
          <w:p>
            <w:pPr>
              <w:ind w:firstLine="0" w:firstLineChars="0"/>
              <w:rPr>
                <w:sz w:val="24"/>
                <w:szCs w:val="24"/>
              </w:rPr>
            </w:pPr>
          </w:p>
        </w:tc>
        <w:tc>
          <w:tcPr>
            <w:tcW w:w="1952" w:type="dxa"/>
            <w:vAlign w:val="center"/>
          </w:tcPr>
          <w:p>
            <w:pPr>
              <w:ind w:firstLine="0" w:firstLineChars="0"/>
              <w:rPr>
                <w:sz w:val="24"/>
                <w:szCs w:val="24"/>
              </w:rPr>
            </w:pPr>
          </w:p>
        </w:tc>
        <w:tc>
          <w:tcPr>
            <w:tcW w:w="787"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6" w:type="dxa"/>
            <w:tcBorders>
              <w:right w:val="single" w:color="auto" w:sz="4" w:space="0"/>
            </w:tcBorders>
            <w:vAlign w:val="center"/>
          </w:tcPr>
          <w:p>
            <w:pPr>
              <w:ind w:firstLine="0" w:firstLineChars="0"/>
              <w:rPr>
                <w:sz w:val="24"/>
                <w:szCs w:val="24"/>
              </w:rPr>
            </w:pPr>
            <w:r>
              <w:rPr>
                <w:sz w:val="24"/>
                <w:szCs w:val="24"/>
              </w:rPr>
              <w:t>5</w:t>
            </w:r>
          </w:p>
        </w:tc>
        <w:tc>
          <w:tcPr>
            <w:tcW w:w="1264" w:type="dxa"/>
            <w:tcBorders>
              <w:top w:val="nil"/>
              <w:left w:val="single" w:color="auto" w:sz="4" w:space="0"/>
              <w:right w:val="single" w:color="auto" w:sz="4" w:space="0"/>
            </w:tcBorders>
            <w:vAlign w:val="center"/>
          </w:tcPr>
          <w:p>
            <w:pPr>
              <w:ind w:firstLine="0" w:firstLineChars="0"/>
              <w:rPr>
                <w:sz w:val="24"/>
                <w:szCs w:val="24"/>
              </w:rPr>
            </w:pPr>
          </w:p>
        </w:tc>
        <w:tc>
          <w:tcPr>
            <w:tcW w:w="1113" w:type="dxa"/>
            <w:tcBorders>
              <w:left w:val="single" w:color="auto" w:sz="4" w:space="0"/>
            </w:tcBorders>
            <w:vAlign w:val="center"/>
          </w:tcPr>
          <w:p>
            <w:pPr>
              <w:ind w:firstLine="0" w:firstLineChars="0"/>
              <w:rPr>
                <w:sz w:val="24"/>
                <w:szCs w:val="24"/>
              </w:rPr>
            </w:pPr>
          </w:p>
        </w:tc>
        <w:tc>
          <w:tcPr>
            <w:tcW w:w="886" w:type="dxa"/>
            <w:vAlign w:val="center"/>
          </w:tcPr>
          <w:p>
            <w:pPr>
              <w:ind w:firstLine="0" w:firstLineChars="0"/>
              <w:rPr>
                <w:sz w:val="24"/>
                <w:szCs w:val="24"/>
              </w:rPr>
            </w:pPr>
          </w:p>
        </w:tc>
        <w:tc>
          <w:tcPr>
            <w:tcW w:w="1034" w:type="dxa"/>
            <w:vAlign w:val="center"/>
          </w:tcPr>
          <w:p>
            <w:pPr>
              <w:ind w:firstLine="0" w:firstLineChars="0"/>
              <w:rPr>
                <w:sz w:val="24"/>
                <w:szCs w:val="24"/>
              </w:rPr>
            </w:pPr>
          </w:p>
        </w:tc>
        <w:tc>
          <w:tcPr>
            <w:tcW w:w="2365" w:type="dxa"/>
            <w:vAlign w:val="center"/>
          </w:tcPr>
          <w:p>
            <w:pPr>
              <w:ind w:firstLine="0" w:firstLineChars="0"/>
              <w:rPr>
                <w:sz w:val="24"/>
                <w:szCs w:val="24"/>
              </w:rPr>
            </w:pPr>
          </w:p>
        </w:tc>
        <w:tc>
          <w:tcPr>
            <w:tcW w:w="1627" w:type="dxa"/>
            <w:vAlign w:val="center"/>
          </w:tcPr>
          <w:p>
            <w:pPr>
              <w:ind w:firstLine="0" w:firstLineChars="0"/>
              <w:rPr>
                <w:sz w:val="24"/>
                <w:szCs w:val="24"/>
              </w:rPr>
            </w:pPr>
          </w:p>
        </w:tc>
        <w:tc>
          <w:tcPr>
            <w:tcW w:w="2661" w:type="dxa"/>
            <w:vAlign w:val="center"/>
          </w:tcPr>
          <w:p>
            <w:pPr>
              <w:ind w:firstLine="0" w:firstLineChars="0"/>
              <w:rPr>
                <w:sz w:val="24"/>
                <w:szCs w:val="24"/>
              </w:rPr>
            </w:pPr>
          </w:p>
        </w:tc>
        <w:tc>
          <w:tcPr>
            <w:tcW w:w="1952" w:type="dxa"/>
            <w:vAlign w:val="center"/>
          </w:tcPr>
          <w:p>
            <w:pPr>
              <w:ind w:firstLine="0" w:firstLineChars="0"/>
              <w:rPr>
                <w:sz w:val="24"/>
                <w:szCs w:val="24"/>
              </w:rPr>
            </w:pPr>
          </w:p>
        </w:tc>
        <w:tc>
          <w:tcPr>
            <w:tcW w:w="787"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6" w:type="dxa"/>
            <w:tcBorders>
              <w:right w:val="single" w:color="auto" w:sz="4" w:space="0"/>
            </w:tcBorders>
            <w:vAlign w:val="center"/>
          </w:tcPr>
          <w:p>
            <w:pPr>
              <w:ind w:firstLine="0" w:firstLineChars="0"/>
              <w:rPr>
                <w:sz w:val="24"/>
                <w:szCs w:val="24"/>
              </w:rPr>
            </w:pPr>
            <w:r>
              <w:rPr>
                <w:sz w:val="24"/>
                <w:szCs w:val="24"/>
              </w:rPr>
              <w:t>6</w:t>
            </w:r>
          </w:p>
        </w:tc>
        <w:tc>
          <w:tcPr>
            <w:tcW w:w="1264" w:type="dxa"/>
            <w:tcBorders>
              <w:top w:val="nil"/>
              <w:left w:val="single" w:color="auto" w:sz="4" w:space="0"/>
              <w:right w:val="single" w:color="auto" w:sz="4" w:space="0"/>
            </w:tcBorders>
            <w:vAlign w:val="center"/>
          </w:tcPr>
          <w:p>
            <w:pPr>
              <w:ind w:firstLine="0" w:firstLineChars="0"/>
              <w:rPr>
                <w:sz w:val="24"/>
                <w:szCs w:val="24"/>
              </w:rPr>
            </w:pPr>
          </w:p>
        </w:tc>
        <w:tc>
          <w:tcPr>
            <w:tcW w:w="1113" w:type="dxa"/>
            <w:tcBorders>
              <w:left w:val="single" w:color="auto" w:sz="4" w:space="0"/>
            </w:tcBorders>
            <w:vAlign w:val="center"/>
          </w:tcPr>
          <w:p>
            <w:pPr>
              <w:ind w:firstLine="0" w:firstLineChars="0"/>
              <w:rPr>
                <w:sz w:val="24"/>
                <w:szCs w:val="24"/>
              </w:rPr>
            </w:pPr>
          </w:p>
        </w:tc>
        <w:tc>
          <w:tcPr>
            <w:tcW w:w="886" w:type="dxa"/>
            <w:vAlign w:val="center"/>
          </w:tcPr>
          <w:p>
            <w:pPr>
              <w:ind w:firstLine="0" w:firstLineChars="0"/>
              <w:rPr>
                <w:sz w:val="24"/>
                <w:szCs w:val="24"/>
              </w:rPr>
            </w:pPr>
          </w:p>
        </w:tc>
        <w:tc>
          <w:tcPr>
            <w:tcW w:w="1034" w:type="dxa"/>
            <w:vAlign w:val="center"/>
          </w:tcPr>
          <w:p>
            <w:pPr>
              <w:ind w:firstLine="0" w:firstLineChars="0"/>
              <w:rPr>
                <w:sz w:val="24"/>
                <w:szCs w:val="24"/>
              </w:rPr>
            </w:pPr>
          </w:p>
        </w:tc>
        <w:tc>
          <w:tcPr>
            <w:tcW w:w="2365" w:type="dxa"/>
            <w:vAlign w:val="center"/>
          </w:tcPr>
          <w:p>
            <w:pPr>
              <w:ind w:firstLine="0" w:firstLineChars="0"/>
              <w:rPr>
                <w:sz w:val="24"/>
                <w:szCs w:val="24"/>
              </w:rPr>
            </w:pPr>
          </w:p>
        </w:tc>
        <w:tc>
          <w:tcPr>
            <w:tcW w:w="1627" w:type="dxa"/>
            <w:vAlign w:val="center"/>
          </w:tcPr>
          <w:p>
            <w:pPr>
              <w:ind w:firstLine="0" w:firstLineChars="0"/>
              <w:rPr>
                <w:sz w:val="24"/>
                <w:szCs w:val="24"/>
              </w:rPr>
            </w:pPr>
          </w:p>
        </w:tc>
        <w:tc>
          <w:tcPr>
            <w:tcW w:w="2661" w:type="dxa"/>
            <w:vAlign w:val="center"/>
          </w:tcPr>
          <w:p>
            <w:pPr>
              <w:ind w:firstLine="0" w:firstLineChars="0"/>
              <w:rPr>
                <w:sz w:val="24"/>
                <w:szCs w:val="24"/>
              </w:rPr>
            </w:pPr>
          </w:p>
        </w:tc>
        <w:tc>
          <w:tcPr>
            <w:tcW w:w="1952" w:type="dxa"/>
            <w:vAlign w:val="center"/>
          </w:tcPr>
          <w:p>
            <w:pPr>
              <w:ind w:firstLine="0" w:firstLineChars="0"/>
              <w:rPr>
                <w:sz w:val="24"/>
                <w:szCs w:val="24"/>
              </w:rPr>
            </w:pPr>
          </w:p>
        </w:tc>
        <w:tc>
          <w:tcPr>
            <w:tcW w:w="787" w:type="dxa"/>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6" w:type="dxa"/>
            <w:tcBorders>
              <w:right w:val="single" w:color="auto" w:sz="4" w:space="0"/>
            </w:tcBorders>
            <w:vAlign w:val="center"/>
          </w:tcPr>
          <w:p>
            <w:pPr>
              <w:ind w:firstLine="0" w:firstLineChars="0"/>
              <w:rPr>
                <w:sz w:val="24"/>
                <w:szCs w:val="24"/>
              </w:rPr>
            </w:pPr>
            <w:r>
              <w:rPr>
                <w:sz w:val="24"/>
                <w:szCs w:val="24"/>
              </w:rPr>
              <w:t>……</w:t>
            </w:r>
          </w:p>
        </w:tc>
        <w:tc>
          <w:tcPr>
            <w:tcW w:w="1264" w:type="dxa"/>
            <w:tcBorders>
              <w:top w:val="nil"/>
              <w:left w:val="single" w:color="auto" w:sz="4" w:space="0"/>
              <w:right w:val="single" w:color="auto" w:sz="4" w:space="0"/>
            </w:tcBorders>
            <w:vAlign w:val="center"/>
          </w:tcPr>
          <w:p>
            <w:pPr>
              <w:ind w:firstLine="0" w:firstLineChars="0"/>
              <w:rPr>
                <w:sz w:val="24"/>
                <w:szCs w:val="24"/>
              </w:rPr>
            </w:pPr>
          </w:p>
        </w:tc>
        <w:tc>
          <w:tcPr>
            <w:tcW w:w="1113" w:type="dxa"/>
            <w:tcBorders>
              <w:left w:val="single" w:color="auto" w:sz="4" w:space="0"/>
            </w:tcBorders>
            <w:vAlign w:val="center"/>
          </w:tcPr>
          <w:p>
            <w:pPr>
              <w:ind w:firstLine="0" w:firstLineChars="0"/>
              <w:rPr>
                <w:sz w:val="24"/>
                <w:szCs w:val="24"/>
              </w:rPr>
            </w:pPr>
          </w:p>
        </w:tc>
        <w:tc>
          <w:tcPr>
            <w:tcW w:w="886" w:type="dxa"/>
            <w:vAlign w:val="center"/>
          </w:tcPr>
          <w:p>
            <w:pPr>
              <w:ind w:firstLine="0" w:firstLineChars="0"/>
              <w:rPr>
                <w:sz w:val="24"/>
                <w:szCs w:val="24"/>
              </w:rPr>
            </w:pPr>
          </w:p>
        </w:tc>
        <w:tc>
          <w:tcPr>
            <w:tcW w:w="1034" w:type="dxa"/>
            <w:vAlign w:val="center"/>
          </w:tcPr>
          <w:p>
            <w:pPr>
              <w:ind w:firstLine="0" w:firstLineChars="0"/>
              <w:rPr>
                <w:sz w:val="24"/>
                <w:szCs w:val="24"/>
              </w:rPr>
            </w:pPr>
          </w:p>
        </w:tc>
        <w:tc>
          <w:tcPr>
            <w:tcW w:w="2365" w:type="dxa"/>
            <w:vAlign w:val="center"/>
          </w:tcPr>
          <w:p>
            <w:pPr>
              <w:ind w:firstLine="0" w:firstLineChars="0"/>
              <w:rPr>
                <w:sz w:val="24"/>
                <w:szCs w:val="24"/>
              </w:rPr>
            </w:pPr>
          </w:p>
        </w:tc>
        <w:tc>
          <w:tcPr>
            <w:tcW w:w="1627" w:type="dxa"/>
            <w:vAlign w:val="center"/>
          </w:tcPr>
          <w:p>
            <w:pPr>
              <w:ind w:firstLine="0" w:firstLineChars="0"/>
              <w:rPr>
                <w:sz w:val="24"/>
                <w:szCs w:val="24"/>
              </w:rPr>
            </w:pPr>
          </w:p>
        </w:tc>
        <w:tc>
          <w:tcPr>
            <w:tcW w:w="2661" w:type="dxa"/>
            <w:vAlign w:val="center"/>
          </w:tcPr>
          <w:p>
            <w:pPr>
              <w:ind w:firstLine="0" w:firstLineChars="0"/>
              <w:rPr>
                <w:sz w:val="24"/>
                <w:szCs w:val="24"/>
              </w:rPr>
            </w:pPr>
          </w:p>
        </w:tc>
        <w:tc>
          <w:tcPr>
            <w:tcW w:w="1952" w:type="dxa"/>
            <w:vAlign w:val="center"/>
          </w:tcPr>
          <w:p>
            <w:pPr>
              <w:ind w:firstLine="0" w:firstLineChars="0"/>
              <w:rPr>
                <w:sz w:val="24"/>
                <w:szCs w:val="24"/>
              </w:rPr>
            </w:pPr>
          </w:p>
        </w:tc>
        <w:tc>
          <w:tcPr>
            <w:tcW w:w="787" w:type="dxa"/>
            <w:vAlign w:val="center"/>
          </w:tcPr>
          <w:p>
            <w:pPr>
              <w:ind w:firstLine="0" w:firstLineChars="0"/>
              <w:rPr>
                <w:sz w:val="24"/>
                <w:szCs w:val="24"/>
              </w:rPr>
            </w:pPr>
          </w:p>
        </w:tc>
      </w:tr>
    </w:tbl>
    <w:p>
      <w:pPr>
        <w:rPr>
          <w:b/>
        </w:rPr>
      </w:pPr>
      <w:r>
        <w:t>此表可自行扩展。</w:t>
      </w:r>
    </w:p>
    <w:p>
      <w:r>
        <w:t>注：须附项目</w:t>
      </w:r>
      <w:r>
        <w:rPr>
          <w:rFonts w:hint="eastAsia"/>
        </w:rPr>
        <w:t>组成员</w:t>
      </w:r>
      <w:r>
        <w:t>的证明资料（包括职称证</w:t>
      </w:r>
      <w:r>
        <w:rPr>
          <w:rFonts w:hint="eastAsia"/>
        </w:rPr>
        <w:t>或其他资质证明复印件等</w:t>
      </w:r>
      <w:r>
        <w:t>）。</w:t>
      </w:r>
    </w:p>
    <w:p>
      <w:pPr>
        <w:sectPr>
          <w:headerReference r:id="rId19" w:type="default"/>
          <w:pgSz w:w="16838" w:h="11906" w:orient="landscape"/>
          <w:pgMar w:top="1701" w:right="1440" w:bottom="1701" w:left="1089" w:header="851" w:footer="992" w:gutter="0"/>
          <w:cols w:space="720" w:num="1"/>
          <w:docGrid w:linePitch="312" w:charSpace="0"/>
        </w:sectPr>
      </w:pPr>
    </w:p>
    <w:p>
      <w:pPr>
        <w:pStyle w:val="4"/>
        <w:ind w:firstLine="0" w:firstLineChars="0"/>
        <w:rPr>
          <w:rFonts w:eastAsia="宋体"/>
        </w:rPr>
      </w:pPr>
      <w:bookmarkStart w:id="106" w:name="_Toc17427"/>
      <w:bookmarkStart w:id="107" w:name="_Toc491149616"/>
      <w:r>
        <w:rPr>
          <w:rFonts w:hint="eastAsia" w:eastAsia="宋体"/>
        </w:rPr>
        <w:t>九、其 他</w:t>
      </w:r>
      <w:bookmarkEnd w:id="106"/>
      <w:bookmarkEnd w:id="107"/>
    </w:p>
    <w:p>
      <w:pPr>
        <w:pStyle w:val="5"/>
        <w:ind w:firstLine="723"/>
      </w:pPr>
      <w:bookmarkStart w:id="108" w:name="_Toc17672"/>
      <w:r>
        <w:rPr>
          <w:rFonts w:hint="eastAsia"/>
        </w:rPr>
        <w:t>供应商基本情况表</w:t>
      </w:r>
      <w:bookmarkEnd w:id="108"/>
    </w:p>
    <w:p>
      <w:pPr>
        <w:rPr>
          <w:b/>
        </w:rPr>
      </w:pPr>
      <w:r>
        <w:rPr>
          <w:rFonts w:hint="eastAsia"/>
        </w:rPr>
        <w:t>（</w:t>
      </w:r>
      <w:r>
        <w:t>1</w:t>
      </w:r>
      <w:r>
        <w:rPr>
          <w:rFonts w:hint="eastAsia"/>
        </w:rPr>
        <w:t>）</w:t>
      </w:r>
      <w:r>
        <w:t xml:space="preserve">公司名称：         电话号码：       </w:t>
      </w:r>
    </w:p>
    <w:p>
      <w:r>
        <w:rPr>
          <w:rFonts w:hint="eastAsia"/>
        </w:rPr>
        <w:t>（</w:t>
      </w:r>
      <w:r>
        <w:t>2</w:t>
      </w:r>
      <w:r>
        <w:rPr>
          <w:rFonts w:hint="eastAsia"/>
        </w:rPr>
        <w:t>）</w:t>
      </w:r>
      <w:r>
        <w:t xml:space="preserve">地  址：         传  真：    </w:t>
      </w:r>
      <w:r>
        <w:rPr>
          <w:rFonts w:hint="eastAsia"/>
        </w:rPr>
        <w:t xml:space="preserve">  </w:t>
      </w:r>
      <w:r>
        <w:t xml:space="preserve"> </w:t>
      </w:r>
    </w:p>
    <w:p>
      <w:r>
        <w:rPr>
          <w:rFonts w:hint="eastAsia"/>
        </w:rPr>
        <w:t>（</w:t>
      </w:r>
      <w:r>
        <w:t>3</w:t>
      </w:r>
      <w:r>
        <w:rPr>
          <w:rFonts w:hint="eastAsia"/>
        </w:rPr>
        <w:t>）</w:t>
      </w:r>
      <w:r>
        <w:t>注册资金：         经济性质</w:t>
      </w:r>
      <w:r>
        <w:rPr>
          <w:rFonts w:hint="eastAsia"/>
        </w:rPr>
        <w:t>：</w:t>
      </w:r>
      <w:r>
        <w:t xml:space="preserve">     </w:t>
      </w:r>
      <w:r>
        <w:rPr>
          <w:rFonts w:hint="eastAsia"/>
        </w:rPr>
        <w:t xml:space="preserve">  </w:t>
      </w:r>
    </w:p>
    <w:p>
      <w:r>
        <w:rPr>
          <w:rFonts w:hint="eastAsia"/>
        </w:rPr>
        <w:t>（</w:t>
      </w:r>
      <w:r>
        <w:t>4</w:t>
      </w:r>
      <w:r>
        <w:rPr>
          <w:rFonts w:hint="eastAsia"/>
        </w:rPr>
        <w:t>）</w:t>
      </w:r>
      <w:r>
        <w:t>公司经营及资金状况:</w:t>
      </w:r>
    </w:p>
    <w:p/>
    <w:p/>
    <w:p/>
    <w:p>
      <w:r>
        <w:rPr>
          <w:rFonts w:hint="eastAsia"/>
        </w:rPr>
        <w:t>（</w:t>
      </w:r>
      <w:r>
        <w:t>5</w:t>
      </w:r>
      <w:r>
        <w:rPr>
          <w:rFonts w:hint="eastAsia"/>
        </w:rPr>
        <w:t>）</w:t>
      </w:r>
      <w:r>
        <w:t>公司开户银行名称及帐号：      地  址：</w:t>
      </w:r>
    </w:p>
    <w:p>
      <w:r>
        <w:rPr>
          <w:rFonts w:hint="eastAsia"/>
        </w:rPr>
        <w:t xml:space="preserve">    </w:t>
      </w:r>
      <w:r>
        <w:t xml:space="preserve">             </w:t>
      </w:r>
      <w:r>
        <w:rPr>
          <w:rFonts w:hint="eastAsia"/>
        </w:rPr>
        <w:t xml:space="preserve"> </w:t>
      </w:r>
      <w:r>
        <w:t xml:space="preserve">        </w:t>
      </w:r>
    </w:p>
    <w:p>
      <w:r>
        <w:rPr>
          <w:rFonts w:hint="eastAsia"/>
        </w:rPr>
        <w:t xml:space="preserve">   </w:t>
      </w:r>
      <w:r>
        <w:t xml:space="preserve">                       </w:t>
      </w:r>
    </w:p>
    <w:p>
      <w:r>
        <w:rPr>
          <w:rFonts w:hint="eastAsia"/>
        </w:rPr>
        <w:t>（6）</w:t>
      </w:r>
      <w:r>
        <w:t xml:space="preserve">营业注册执照号：  </w:t>
      </w:r>
    </w:p>
    <w:p>
      <w:r>
        <w:t xml:space="preserve">  </w:t>
      </w:r>
    </w:p>
    <w:p>
      <w:r>
        <w:rPr>
          <w:rFonts w:hint="eastAsia"/>
        </w:rPr>
        <w:t xml:space="preserve"> （7）其他说明</w:t>
      </w:r>
    </w:p>
    <w:p>
      <w:r>
        <w:t xml:space="preserve">    </w:t>
      </w:r>
    </w:p>
    <w:p>
      <w:r>
        <w:t>我/我们声明以上所述是正确无误的，您有权进行您认为必要的所有调查。</w:t>
      </w:r>
    </w:p>
    <w:p/>
    <w:p/>
    <w:p>
      <w:r>
        <w:t xml:space="preserve">日期：             </w:t>
      </w:r>
    </w:p>
    <w:p/>
    <w:p/>
    <w:p>
      <w:r>
        <w:rPr>
          <w:rFonts w:hint="eastAsia"/>
        </w:rPr>
        <w:t>供应商名称</w:t>
      </w:r>
      <w:r>
        <w:t>：      (</w:t>
      </w:r>
      <w:r>
        <w:rPr>
          <w:rFonts w:hint="eastAsia"/>
        </w:rPr>
        <w:t>公</w:t>
      </w:r>
      <w:r>
        <w:t>章)</w:t>
      </w:r>
      <w:r>
        <w:rPr>
          <w:rFonts w:hint="eastAsia"/>
        </w:rPr>
        <w:t xml:space="preserve"> </w:t>
      </w:r>
    </w:p>
    <w:p/>
    <w:p>
      <w:r>
        <w:rPr>
          <w:rFonts w:hint="eastAsia"/>
        </w:rPr>
        <w:t>注：若供应商认为有必要，可附其他相关证明文件。</w:t>
      </w:r>
    </w:p>
    <w:p>
      <w:pPr>
        <w:pStyle w:val="4"/>
        <w:ind w:firstLine="0" w:firstLineChars="0"/>
        <w:rPr>
          <w:rFonts w:eastAsia="宋体"/>
        </w:rPr>
      </w:pPr>
      <w:r>
        <w:rPr>
          <w:sz w:val="24"/>
        </w:rPr>
        <w:br w:type="page"/>
      </w:r>
      <w:bookmarkStart w:id="109" w:name="_Toc19836"/>
      <w:bookmarkStart w:id="110" w:name="_Toc491149617"/>
      <w:r>
        <w:rPr>
          <w:rFonts w:hint="eastAsia" w:eastAsia="宋体"/>
        </w:rPr>
        <w:t>十、供应商需说明的其它问题</w:t>
      </w:r>
      <w:bookmarkEnd w:id="109"/>
      <w:bookmarkEnd w:id="110"/>
    </w:p>
    <w:p>
      <w:pPr>
        <w:ind w:firstLine="600"/>
      </w:pPr>
      <w:r>
        <w:rPr>
          <w:sz w:val="30"/>
        </w:rPr>
        <w:t xml:space="preserve"> </w:t>
      </w:r>
      <w:r>
        <w:rPr>
          <w:rFonts w:hint="eastAsia"/>
          <w:sz w:val="30"/>
        </w:rPr>
        <w:t xml:space="preserve"> </w:t>
      </w:r>
      <w:r>
        <w:rPr>
          <w:rFonts w:hint="eastAsia"/>
        </w:rPr>
        <w:t>供应商</w:t>
      </w:r>
      <w:r>
        <w:t>可提出补充建议或说明，提出比</w:t>
      </w:r>
      <w:r>
        <w:rPr>
          <w:rFonts w:hint="eastAsia"/>
        </w:rPr>
        <w:t>投标采购文件</w:t>
      </w:r>
      <w:r>
        <w:t>的</w:t>
      </w:r>
      <w:r>
        <w:rPr>
          <w:rFonts w:hint="eastAsia"/>
        </w:rPr>
        <w:t>服务</w:t>
      </w:r>
      <w:r>
        <w:t>要求更合理的建议方案。</w:t>
      </w:r>
    </w:p>
    <w:p/>
    <w:p>
      <w:pPr>
        <w:ind w:firstLine="0" w:firstLineChars="0"/>
        <w:rPr>
          <w:b/>
        </w:rPr>
      </w:pPr>
    </w:p>
    <w:sectPr>
      <w:headerReference r:id="rId20" w:type="default"/>
      <w:pgSz w:w="11906" w:h="16838"/>
      <w:pgMar w:top="1440" w:right="1701" w:bottom="1089" w:left="1701"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Garamond">
    <w:altName w:val="FreeSerif"/>
    <w:panose1 w:val="02020404030301010803"/>
    <w:charset w:val="00"/>
    <w:family w:val="roman"/>
    <w:pitch w:val="default"/>
    <w:sig w:usb0="00000000" w:usb1="00000000" w:usb2="00000000" w:usb3="00000000" w:csb0="0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仿宋">
    <w:panose1 w:val="02010609060101010101"/>
    <w:charset w:val="86"/>
    <w:family w:val="modern"/>
    <w:pitch w:val="default"/>
    <w:sig w:usb0="800002BF" w:usb1="38CF7CFA" w:usb2="00000016" w:usb3="00000000" w:csb0="00040001" w:csb1="00000000"/>
  </w:font>
  <w:font w:name="宋体-18030">
    <w:altName w:val="微软雅黑"/>
    <w:panose1 w:val="00000000000000000000"/>
    <w:charset w:val="86"/>
    <w:family w:val="auto"/>
    <w:pitch w:val="default"/>
    <w:sig w:usb0="00000000" w:usb1="00000000" w:usb2="0000001E" w:usb3="00000000" w:csb0="003C004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ind w:firstLine="360"/>
      <w:rPr>
        <w:rStyle w:val="37"/>
      </w:rPr>
    </w:pPr>
    <w:r>
      <w:fldChar w:fldCharType="begin"/>
    </w:r>
    <w:r>
      <w:rPr>
        <w:rStyle w:val="37"/>
      </w:rPr>
      <w:instrText xml:space="preserve">PAGE  </w:instrText>
    </w:r>
    <w:r>
      <w:fldChar w:fldCharType="separate"/>
    </w:r>
    <w:r>
      <w:rPr>
        <w:rStyle w:val="37"/>
      </w:rPr>
      <w:t>20</w:t>
    </w:r>
    <w:r>
      <w:fldChar w:fldCharType="end"/>
    </w:r>
  </w:p>
  <w:p>
    <w:pPr>
      <w:pStyle w:val="2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ind w:firstLine="360"/>
      <w:rPr>
        <w:rStyle w:val="37"/>
      </w:rPr>
    </w:pPr>
    <w:r>
      <w:fldChar w:fldCharType="begin"/>
    </w:r>
    <w:r>
      <w:rPr>
        <w:rStyle w:val="37"/>
      </w:rPr>
      <w:instrText xml:space="preserve">PAGE  </w:instrText>
    </w:r>
    <w:r>
      <w:fldChar w:fldCharType="separate"/>
    </w:r>
    <w:r>
      <w:rPr>
        <w:rStyle w:val="37"/>
      </w:rPr>
      <w:t>23</w:t>
    </w:r>
    <w:r>
      <w:fldChar w:fldCharType="end"/>
    </w:r>
  </w:p>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center"/>
    </w:pPr>
    <w:r>
      <w:fldChar w:fldCharType="begin"/>
    </w:r>
    <w:r>
      <w:instrText xml:space="preserve">PAGE   \* MERGEFORMAT</w:instrText>
    </w:r>
    <w:r>
      <w:fldChar w:fldCharType="separate"/>
    </w:r>
    <w: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center"/>
    </w:pPr>
    <w:r>
      <w:fldChar w:fldCharType="begin"/>
    </w:r>
    <w:r>
      <w:instrText xml:space="preserve">PAGE   \* MERGEFORMAT</w:instrText>
    </w:r>
    <w:r>
      <w:fldChar w:fldCharType="separate"/>
    </w:r>
    <w:r>
      <w:t>- 1 -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center"/>
    </w:pPr>
    <w:r>
      <w:fldChar w:fldCharType="begin"/>
    </w:r>
    <w:r>
      <w:instrText xml:space="preserve">PAGE   \* MERGEFORMAT</w:instrText>
    </w:r>
    <w:r>
      <w:fldChar w:fldCharType="separate"/>
    </w:r>
    <w: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decimal"/>
      <w:pStyle w:val="6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29"/>
    <w:multiLevelType w:val="multilevel"/>
    <w:tmpl w:val="0000002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2F"/>
    <w:multiLevelType w:val="multilevel"/>
    <w:tmpl w:val="0000002F"/>
    <w:lvl w:ilvl="0" w:tentative="0">
      <w:start w:val="1"/>
      <w:numFmt w:val="chineseCountingThousand"/>
      <w:pStyle w:val="10"/>
      <w:lvlText w:val="%1."/>
      <w:lvlJc w:val="left"/>
      <w:pPr>
        <w:tabs>
          <w:tab w:val="left" w:pos="425"/>
        </w:tabs>
        <w:ind w:left="425" w:hanging="425"/>
      </w:pPr>
      <w:rPr>
        <w:rFonts w:hint="eastAsia"/>
      </w:rPr>
    </w:lvl>
    <w:lvl w:ilvl="1" w:tentative="0">
      <w:start w:val="1"/>
      <w:numFmt w:val="decimal"/>
      <w:pStyle w:val="9"/>
      <w:lvlText w:val="%2."/>
      <w:lvlJc w:val="left"/>
      <w:pPr>
        <w:tabs>
          <w:tab w:val="left" w:pos="927"/>
        </w:tabs>
        <w:ind w:left="567" w:firstLine="0"/>
      </w:pPr>
      <w:rPr>
        <w:rFonts w:hint="eastAsia"/>
      </w:rPr>
    </w:lvl>
    <w:lvl w:ilvl="2" w:tentative="0">
      <w:start w:val="1"/>
      <w:numFmt w:val="decimal"/>
      <w:pStyle w:val="16"/>
      <w:lvlText w:val="（%3）"/>
      <w:lvlJc w:val="left"/>
      <w:pPr>
        <w:tabs>
          <w:tab w:val="left" w:pos="1647"/>
        </w:tabs>
        <w:ind w:left="284" w:firstLine="283"/>
      </w:pPr>
      <w:rPr>
        <w:rFonts w:hint="eastAsia"/>
      </w:rPr>
    </w:lvl>
    <w:lvl w:ilvl="3" w:tentative="0">
      <w:start w:val="1"/>
      <w:numFmt w:val="lowerLetter"/>
      <w:pStyle w:val="19"/>
      <w:lvlText w:val="%4"/>
      <w:lvlJc w:val="left"/>
      <w:pPr>
        <w:tabs>
          <w:tab w:val="left" w:pos="1352"/>
        </w:tabs>
        <w:ind w:left="992" w:firstLine="0"/>
      </w:pPr>
      <w:rPr>
        <w:rFonts w:hint="eastAsia"/>
      </w:rPr>
    </w:lvl>
    <w:lvl w:ilvl="4" w:tentative="0">
      <w:start w:val="1"/>
      <w:numFmt w:val="upperRoman"/>
      <w:pStyle w:val="27"/>
      <w:lvlText w:val="%5"/>
      <w:lvlJc w:val="left"/>
      <w:pPr>
        <w:tabs>
          <w:tab w:val="left" w:pos="1854"/>
        </w:tabs>
        <w:ind w:left="1134" w:firstLine="0"/>
      </w:pPr>
      <w:rPr>
        <w:rFonts w:hint="eastAsia"/>
      </w:rPr>
    </w:lvl>
    <w:lvl w:ilvl="5" w:tentative="0">
      <w:start w:val="1"/>
      <w:numFmt w:val="bullet"/>
      <w:lvlText w:val=""/>
      <w:lvlJc w:val="left"/>
      <w:pPr>
        <w:tabs>
          <w:tab w:val="left" w:pos="1607"/>
        </w:tabs>
        <w:ind w:left="1247" w:firstLine="0"/>
      </w:pPr>
      <w:rPr>
        <w:rFonts w:hint="default" w:ascii="Symbol" w:hAnsi="Symbol"/>
        <w:color w:val="auto"/>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53208E"/>
    <w:multiLevelType w:val="singleLevel"/>
    <w:tmpl w:val="0053208E"/>
    <w:lvl w:ilvl="0" w:tentative="0">
      <w:start w:val="1"/>
      <w:numFmt w:val="decimal"/>
      <w:lvlText w:val="%1．"/>
      <w:lvlJc w:val="left"/>
      <w:pPr>
        <w:tabs>
          <w:tab w:val="left" w:pos="1050"/>
        </w:tabs>
        <w:ind w:left="1050" w:hanging="450"/>
      </w:pPr>
      <w:rPr>
        <w:rFonts w:hint="eastAsia"/>
        <w:u w:val="none"/>
      </w:rPr>
    </w:lvl>
  </w:abstractNum>
  <w:abstractNum w:abstractNumId="4">
    <w:nsid w:val="14D31703"/>
    <w:multiLevelType w:val="multilevel"/>
    <w:tmpl w:val="14D31703"/>
    <w:lvl w:ilvl="0" w:tentative="0">
      <w:start w:val="1"/>
      <w:numFmt w:val="japaneseCounting"/>
      <w:lvlText w:val="（%1）"/>
      <w:lvlJc w:val="left"/>
      <w:pPr>
        <w:ind w:left="1415" w:hanging="85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1BC32FFD"/>
    <w:multiLevelType w:val="multilevel"/>
    <w:tmpl w:val="1BC32FF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17F11F7"/>
    <w:multiLevelType w:val="multilevel"/>
    <w:tmpl w:val="617F11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bordersDoNotSurroundHeader w:val="true"/>
  <w:bordersDoNotSurroundFooter w:val="true"/>
  <w:documentProtection w:enforcement="0"/>
  <w:defaultTabStop w:val="420"/>
  <w:drawingGridHorizontalSpacing w:val="105"/>
  <w:drawingGridVerticalSpacing w:val="156"/>
  <w:noPunctuationKerning w:val="true"/>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BkNjUxOTViZTk1YTBkYmRiZDVlMWZkMzkxZjc0NjUifQ=="/>
  </w:docVars>
  <w:rsids>
    <w:rsidRoot w:val="00172A27"/>
    <w:rsid w:val="00004CBC"/>
    <w:rsid w:val="000134AD"/>
    <w:rsid w:val="00022DF5"/>
    <w:rsid w:val="00026608"/>
    <w:rsid w:val="000378BA"/>
    <w:rsid w:val="0005012C"/>
    <w:rsid w:val="00064386"/>
    <w:rsid w:val="0008416B"/>
    <w:rsid w:val="000869D0"/>
    <w:rsid w:val="00090778"/>
    <w:rsid w:val="0009288F"/>
    <w:rsid w:val="000A6FD9"/>
    <w:rsid w:val="000B56BB"/>
    <w:rsid w:val="000B6360"/>
    <w:rsid w:val="000F5744"/>
    <w:rsid w:val="00112AA5"/>
    <w:rsid w:val="00113CCC"/>
    <w:rsid w:val="00117F56"/>
    <w:rsid w:val="00120649"/>
    <w:rsid w:val="00140F6F"/>
    <w:rsid w:val="0017046C"/>
    <w:rsid w:val="00171FB4"/>
    <w:rsid w:val="00172A27"/>
    <w:rsid w:val="001905DB"/>
    <w:rsid w:val="001A331D"/>
    <w:rsid w:val="001C0CDE"/>
    <w:rsid w:val="001E128B"/>
    <w:rsid w:val="001E2376"/>
    <w:rsid w:val="001F15B1"/>
    <w:rsid w:val="00215D6C"/>
    <w:rsid w:val="00234BF5"/>
    <w:rsid w:val="00243B57"/>
    <w:rsid w:val="0024444A"/>
    <w:rsid w:val="00260D85"/>
    <w:rsid w:val="00267B03"/>
    <w:rsid w:val="002859AD"/>
    <w:rsid w:val="002871CC"/>
    <w:rsid w:val="002B2479"/>
    <w:rsid w:val="002B5083"/>
    <w:rsid w:val="002D6E88"/>
    <w:rsid w:val="002E7106"/>
    <w:rsid w:val="002F7D90"/>
    <w:rsid w:val="00301A23"/>
    <w:rsid w:val="003161DB"/>
    <w:rsid w:val="00325406"/>
    <w:rsid w:val="00334CB9"/>
    <w:rsid w:val="00337723"/>
    <w:rsid w:val="00353AA1"/>
    <w:rsid w:val="0039424D"/>
    <w:rsid w:val="003A3BB9"/>
    <w:rsid w:val="003A5E33"/>
    <w:rsid w:val="003C1C3A"/>
    <w:rsid w:val="003C6217"/>
    <w:rsid w:val="003C7215"/>
    <w:rsid w:val="003C746F"/>
    <w:rsid w:val="003E320B"/>
    <w:rsid w:val="003E6029"/>
    <w:rsid w:val="003F05F8"/>
    <w:rsid w:val="003F3DAA"/>
    <w:rsid w:val="004061A6"/>
    <w:rsid w:val="00411C7E"/>
    <w:rsid w:val="0041484C"/>
    <w:rsid w:val="00440494"/>
    <w:rsid w:val="00443A75"/>
    <w:rsid w:val="00464026"/>
    <w:rsid w:val="00464985"/>
    <w:rsid w:val="0047079B"/>
    <w:rsid w:val="00471A86"/>
    <w:rsid w:val="00486829"/>
    <w:rsid w:val="00486D9B"/>
    <w:rsid w:val="004A14A1"/>
    <w:rsid w:val="004A4579"/>
    <w:rsid w:val="004A6A20"/>
    <w:rsid w:val="004B4293"/>
    <w:rsid w:val="004B676A"/>
    <w:rsid w:val="004C7EED"/>
    <w:rsid w:val="004D6893"/>
    <w:rsid w:val="004E6F33"/>
    <w:rsid w:val="00510FA8"/>
    <w:rsid w:val="0051589E"/>
    <w:rsid w:val="005242D7"/>
    <w:rsid w:val="00526DFA"/>
    <w:rsid w:val="00541029"/>
    <w:rsid w:val="00550971"/>
    <w:rsid w:val="005704FD"/>
    <w:rsid w:val="00573621"/>
    <w:rsid w:val="00587B4C"/>
    <w:rsid w:val="0059054C"/>
    <w:rsid w:val="005965B3"/>
    <w:rsid w:val="00597437"/>
    <w:rsid w:val="005B7744"/>
    <w:rsid w:val="005C0A9A"/>
    <w:rsid w:val="005C1024"/>
    <w:rsid w:val="005E427C"/>
    <w:rsid w:val="005E77DF"/>
    <w:rsid w:val="005F58B9"/>
    <w:rsid w:val="00610800"/>
    <w:rsid w:val="00614BA2"/>
    <w:rsid w:val="00621394"/>
    <w:rsid w:val="006328E9"/>
    <w:rsid w:val="006458EB"/>
    <w:rsid w:val="0065104B"/>
    <w:rsid w:val="0066283B"/>
    <w:rsid w:val="00662A7A"/>
    <w:rsid w:val="006631D8"/>
    <w:rsid w:val="00663761"/>
    <w:rsid w:val="006679C1"/>
    <w:rsid w:val="00672787"/>
    <w:rsid w:val="006760A8"/>
    <w:rsid w:val="00687D17"/>
    <w:rsid w:val="0069209B"/>
    <w:rsid w:val="006A0522"/>
    <w:rsid w:val="006B5B69"/>
    <w:rsid w:val="006C3380"/>
    <w:rsid w:val="006F3F03"/>
    <w:rsid w:val="00703616"/>
    <w:rsid w:val="0071125E"/>
    <w:rsid w:val="007120AA"/>
    <w:rsid w:val="00717E23"/>
    <w:rsid w:val="00722E79"/>
    <w:rsid w:val="00730E9B"/>
    <w:rsid w:val="00750191"/>
    <w:rsid w:val="007641B8"/>
    <w:rsid w:val="0078028E"/>
    <w:rsid w:val="00781FF5"/>
    <w:rsid w:val="00795E67"/>
    <w:rsid w:val="007A4712"/>
    <w:rsid w:val="007B4277"/>
    <w:rsid w:val="007D4BE2"/>
    <w:rsid w:val="007D5DAA"/>
    <w:rsid w:val="007F2090"/>
    <w:rsid w:val="0080244C"/>
    <w:rsid w:val="00807CC1"/>
    <w:rsid w:val="00817C6A"/>
    <w:rsid w:val="00823EEA"/>
    <w:rsid w:val="00825D37"/>
    <w:rsid w:val="0085467F"/>
    <w:rsid w:val="008576FF"/>
    <w:rsid w:val="00870A9A"/>
    <w:rsid w:val="0087117E"/>
    <w:rsid w:val="0087194B"/>
    <w:rsid w:val="008750F8"/>
    <w:rsid w:val="008763D6"/>
    <w:rsid w:val="008A2CF1"/>
    <w:rsid w:val="008A319F"/>
    <w:rsid w:val="008C1733"/>
    <w:rsid w:val="008D1979"/>
    <w:rsid w:val="008D29E4"/>
    <w:rsid w:val="008D5FFC"/>
    <w:rsid w:val="008E1420"/>
    <w:rsid w:val="008E2BAC"/>
    <w:rsid w:val="008F213F"/>
    <w:rsid w:val="0092392E"/>
    <w:rsid w:val="009262AB"/>
    <w:rsid w:val="00927A65"/>
    <w:rsid w:val="00933C77"/>
    <w:rsid w:val="00943809"/>
    <w:rsid w:val="009461D5"/>
    <w:rsid w:val="00947A96"/>
    <w:rsid w:val="009625C4"/>
    <w:rsid w:val="00973446"/>
    <w:rsid w:val="00974741"/>
    <w:rsid w:val="0097565B"/>
    <w:rsid w:val="009A31C3"/>
    <w:rsid w:val="009A7751"/>
    <w:rsid w:val="009B3F28"/>
    <w:rsid w:val="009B5C38"/>
    <w:rsid w:val="009B7104"/>
    <w:rsid w:val="009E3A95"/>
    <w:rsid w:val="009E5948"/>
    <w:rsid w:val="00A157DD"/>
    <w:rsid w:val="00A169BD"/>
    <w:rsid w:val="00A329D9"/>
    <w:rsid w:val="00A3477B"/>
    <w:rsid w:val="00A37695"/>
    <w:rsid w:val="00A42429"/>
    <w:rsid w:val="00A55540"/>
    <w:rsid w:val="00A74F2C"/>
    <w:rsid w:val="00A922D2"/>
    <w:rsid w:val="00A93752"/>
    <w:rsid w:val="00A93E57"/>
    <w:rsid w:val="00A947D4"/>
    <w:rsid w:val="00AA314C"/>
    <w:rsid w:val="00AA4EEC"/>
    <w:rsid w:val="00AA7C34"/>
    <w:rsid w:val="00AB564A"/>
    <w:rsid w:val="00AD0397"/>
    <w:rsid w:val="00AD3836"/>
    <w:rsid w:val="00AD456C"/>
    <w:rsid w:val="00AD64E0"/>
    <w:rsid w:val="00AE0D2F"/>
    <w:rsid w:val="00AE3F3A"/>
    <w:rsid w:val="00AF138B"/>
    <w:rsid w:val="00AF48F9"/>
    <w:rsid w:val="00AF7392"/>
    <w:rsid w:val="00B11C5D"/>
    <w:rsid w:val="00B123B4"/>
    <w:rsid w:val="00B22DC4"/>
    <w:rsid w:val="00B3073E"/>
    <w:rsid w:val="00B34B0A"/>
    <w:rsid w:val="00B51410"/>
    <w:rsid w:val="00B514A7"/>
    <w:rsid w:val="00B53975"/>
    <w:rsid w:val="00B6127E"/>
    <w:rsid w:val="00B64F44"/>
    <w:rsid w:val="00B6736E"/>
    <w:rsid w:val="00B71973"/>
    <w:rsid w:val="00B71B7C"/>
    <w:rsid w:val="00BB4ABC"/>
    <w:rsid w:val="00BC4759"/>
    <w:rsid w:val="00BC7CF6"/>
    <w:rsid w:val="00BE63B6"/>
    <w:rsid w:val="00BE7DEF"/>
    <w:rsid w:val="00BF44F0"/>
    <w:rsid w:val="00BF4DAD"/>
    <w:rsid w:val="00C006FF"/>
    <w:rsid w:val="00C0315A"/>
    <w:rsid w:val="00C25B36"/>
    <w:rsid w:val="00C35912"/>
    <w:rsid w:val="00C547CA"/>
    <w:rsid w:val="00C859BC"/>
    <w:rsid w:val="00C91061"/>
    <w:rsid w:val="00CA324C"/>
    <w:rsid w:val="00CA6792"/>
    <w:rsid w:val="00CB2652"/>
    <w:rsid w:val="00CB60FE"/>
    <w:rsid w:val="00CC654B"/>
    <w:rsid w:val="00CD274C"/>
    <w:rsid w:val="00CD451A"/>
    <w:rsid w:val="00CE53D2"/>
    <w:rsid w:val="00CF1B78"/>
    <w:rsid w:val="00CF5FF7"/>
    <w:rsid w:val="00CF7C94"/>
    <w:rsid w:val="00D052FE"/>
    <w:rsid w:val="00D10C55"/>
    <w:rsid w:val="00D21907"/>
    <w:rsid w:val="00D52C36"/>
    <w:rsid w:val="00D54A89"/>
    <w:rsid w:val="00D62AEC"/>
    <w:rsid w:val="00D754EC"/>
    <w:rsid w:val="00D972F4"/>
    <w:rsid w:val="00DC6CE6"/>
    <w:rsid w:val="00DD6BC9"/>
    <w:rsid w:val="00E03429"/>
    <w:rsid w:val="00E20E41"/>
    <w:rsid w:val="00E21782"/>
    <w:rsid w:val="00E22868"/>
    <w:rsid w:val="00E33E5D"/>
    <w:rsid w:val="00E36A13"/>
    <w:rsid w:val="00E4337E"/>
    <w:rsid w:val="00E51486"/>
    <w:rsid w:val="00E52F68"/>
    <w:rsid w:val="00E54138"/>
    <w:rsid w:val="00E7618C"/>
    <w:rsid w:val="00E84A8C"/>
    <w:rsid w:val="00E92051"/>
    <w:rsid w:val="00EA7740"/>
    <w:rsid w:val="00EB1808"/>
    <w:rsid w:val="00EB304C"/>
    <w:rsid w:val="00EC0A83"/>
    <w:rsid w:val="00EC78DC"/>
    <w:rsid w:val="00ED3BA5"/>
    <w:rsid w:val="00EE4CCE"/>
    <w:rsid w:val="00F0062C"/>
    <w:rsid w:val="00F02CC8"/>
    <w:rsid w:val="00F05B19"/>
    <w:rsid w:val="00F21C08"/>
    <w:rsid w:val="00F258F6"/>
    <w:rsid w:val="00F30E23"/>
    <w:rsid w:val="00F314A3"/>
    <w:rsid w:val="00F40138"/>
    <w:rsid w:val="00F5202F"/>
    <w:rsid w:val="00F70E1A"/>
    <w:rsid w:val="00F71438"/>
    <w:rsid w:val="00F81AE0"/>
    <w:rsid w:val="00F960E3"/>
    <w:rsid w:val="00F97BF8"/>
    <w:rsid w:val="00FA0651"/>
    <w:rsid w:val="00FA1471"/>
    <w:rsid w:val="00FD6FE1"/>
    <w:rsid w:val="00FE2D0D"/>
    <w:rsid w:val="00FE2F32"/>
    <w:rsid w:val="00FE57E8"/>
    <w:rsid w:val="00FE5929"/>
    <w:rsid w:val="0101540B"/>
    <w:rsid w:val="02697552"/>
    <w:rsid w:val="0A636A10"/>
    <w:rsid w:val="0B50014D"/>
    <w:rsid w:val="12DB7765"/>
    <w:rsid w:val="25F20406"/>
    <w:rsid w:val="3B2F74F5"/>
    <w:rsid w:val="3D8108B6"/>
    <w:rsid w:val="3E356402"/>
    <w:rsid w:val="3ED52735"/>
    <w:rsid w:val="3F5E6084"/>
    <w:rsid w:val="441A5F3F"/>
    <w:rsid w:val="4F540FC5"/>
    <w:rsid w:val="52397D29"/>
    <w:rsid w:val="52BE22C8"/>
    <w:rsid w:val="536A32C2"/>
    <w:rsid w:val="56A32477"/>
    <w:rsid w:val="5E334941"/>
    <w:rsid w:val="6340223D"/>
    <w:rsid w:val="6C357B30"/>
    <w:rsid w:val="72BEBF2F"/>
    <w:rsid w:val="773F14B9"/>
    <w:rsid w:val="7A26736B"/>
    <w:rsid w:val="7CBF6447"/>
    <w:rsid w:val="7CE720ED"/>
    <w:rsid w:val="7FAD911F"/>
    <w:rsid w:val="BEF76282"/>
    <w:rsid w:val="BFFB61B1"/>
    <w:rsid w:val="CFCF1A15"/>
    <w:rsid w:val="D92FB8C9"/>
    <w:rsid w:val="EBEDE94B"/>
    <w:rsid w:val="FDEF48A9"/>
    <w:rsid w:val="FEEE7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00" w:lineRule="auto"/>
      <w:ind w:firstLine="560" w:firstLineChars="200"/>
      <w:jc w:val="both"/>
    </w:pPr>
    <w:rPr>
      <w:rFonts w:ascii="宋体" w:hAnsi="宋体" w:eastAsia="宋体" w:cs="Times New Roman"/>
      <w:kern w:val="2"/>
      <w:sz w:val="28"/>
      <w:szCs w:val="28"/>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eastAsia="黑体"/>
      <w:sz w:val="44"/>
      <w:szCs w:val="44"/>
    </w:rPr>
  </w:style>
  <w:style w:type="paragraph" w:styleId="5">
    <w:name w:val="heading 3"/>
    <w:basedOn w:val="1"/>
    <w:next w:val="6"/>
    <w:qFormat/>
    <w:uiPriority w:val="0"/>
    <w:pPr>
      <w:keepNext/>
      <w:keepLines/>
      <w:autoSpaceDE w:val="0"/>
      <w:autoSpaceDN w:val="0"/>
      <w:spacing w:before="120"/>
      <w:jc w:val="left"/>
      <w:textAlignment w:val="baseline"/>
      <w:outlineLvl w:val="2"/>
    </w:pPr>
    <w:rPr>
      <w:rFonts w:cs="Arial"/>
      <w:b/>
      <w:bCs/>
      <w:sz w:val="36"/>
      <w:szCs w:val="36"/>
    </w:rPr>
  </w:style>
  <w:style w:type="paragraph" w:styleId="7">
    <w:name w:val="heading 4"/>
    <w:basedOn w:val="1"/>
    <w:next w:val="1"/>
    <w:link w:val="47"/>
    <w:qFormat/>
    <w:uiPriority w:val="0"/>
    <w:pPr>
      <w:keepNext/>
      <w:keepLines/>
      <w:spacing w:before="280" w:after="290" w:line="374" w:lineRule="auto"/>
      <w:outlineLvl w:val="3"/>
    </w:pPr>
    <w:rPr>
      <w:rFonts w:ascii="Calibri Light" w:hAnsi="Calibri Light"/>
      <w:b/>
      <w:bCs/>
      <w:lang w:val="zh-CN"/>
    </w:rPr>
  </w:style>
  <w:style w:type="paragraph" w:styleId="8">
    <w:name w:val="heading 5"/>
    <w:basedOn w:val="7"/>
    <w:next w:val="1"/>
    <w:qFormat/>
    <w:uiPriority w:val="0"/>
    <w:pPr>
      <w:outlineLvl w:val="4"/>
    </w:pPr>
  </w:style>
  <w:style w:type="character" w:default="1" w:styleId="35">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overflowPunct w:val="0"/>
      <w:autoSpaceDE w:val="0"/>
      <w:autoSpaceDN w:val="0"/>
      <w:spacing w:after="240" w:line="240" w:lineRule="atLeast"/>
      <w:ind w:firstLine="360"/>
      <w:textAlignment w:val="baseline"/>
    </w:pPr>
    <w:rPr>
      <w:rFonts w:ascii="Garamond" w:hAnsi="Garamond"/>
      <w:kern w:val="0"/>
      <w:sz w:val="22"/>
      <w:szCs w:val="20"/>
    </w:rPr>
  </w:style>
  <w:style w:type="paragraph" w:styleId="6">
    <w:name w:val="Normal Indent"/>
    <w:basedOn w:val="1"/>
    <w:qFormat/>
    <w:uiPriority w:val="0"/>
    <w:pPr>
      <w:ind w:firstLine="420"/>
    </w:pPr>
  </w:style>
  <w:style w:type="paragraph" w:styleId="9">
    <w:name w:val="List Number 2"/>
    <w:basedOn w:val="1"/>
    <w:qFormat/>
    <w:uiPriority w:val="0"/>
    <w:pPr>
      <w:numPr>
        <w:ilvl w:val="1"/>
        <w:numId w:val="1"/>
      </w:numPr>
      <w:spacing w:line="360" w:lineRule="auto"/>
    </w:pPr>
    <w:rPr>
      <w:rFonts w:ascii="Arial" w:hAnsi="Arial"/>
    </w:rPr>
  </w:style>
  <w:style w:type="paragraph" w:styleId="10">
    <w:name w:val="List Number"/>
    <w:basedOn w:val="1"/>
    <w:qFormat/>
    <w:uiPriority w:val="0"/>
    <w:pPr>
      <w:numPr>
        <w:ilvl w:val="0"/>
        <w:numId w:val="1"/>
      </w:numPr>
      <w:spacing w:line="360" w:lineRule="auto"/>
    </w:pPr>
    <w:rPr>
      <w:rFonts w:ascii="Arial" w:hAnsi="Arial"/>
    </w:rPr>
  </w:style>
  <w:style w:type="paragraph" w:styleId="11">
    <w:name w:val="Document Map"/>
    <w:basedOn w:val="1"/>
    <w:link w:val="44"/>
    <w:qFormat/>
    <w:uiPriority w:val="0"/>
    <w:rPr>
      <w:rFonts w:hAnsi="Times New Roman"/>
      <w:sz w:val="18"/>
      <w:szCs w:val="18"/>
      <w:lang w:val="zh-CN"/>
    </w:rPr>
  </w:style>
  <w:style w:type="paragraph" w:styleId="12">
    <w:name w:val="annotation text"/>
    <w:basedOn w:val="1"/>
    <w:link w:val="41"/>
    <w:qFormat/>
    <w:uiPriority w:val="0"/>
    <w:pPr>
      <w:jc w:val="left"/>
    </w:pPr>
    <w:rPr>
      <w:rFonts w:ascii="Times New Roman" w:hAnsi="Times New Roman"/>
      <w:sz w:val="21"/>
      <w:szCs w:val="24"/>
      <w:lang w:val="zh-CN"/>
    </w:rPr>
  </w:style>
  <w:style w:type="paragraph" w:styleId="13">
    <w:name w:val="Salutation"/>
    <w:basedOn w:val="1"/>
    <w:next w:val="1"/>
    <w:link w:val="45"/>
    <w:qFormat/>
    <w:uiPriority w:val="0"/>
    <w:rPr>
      <w:rFonts w:ascii="Times New Roman" w:hAnsi="Times New Roman"/>
      <w:sz w:val="21"/>
      <w:szCs w:val="20"/>
      <w:lang w:val="zh-CN"/>
    </w:rPr>
  </w:style>
  <w:style w:type="paragraph" w:styleId="14">
    <w:name w:val="Body Text 3"/>
    <w:basedOn w:val="1"/>
    <w:qFormat/>
    <w:uiPriority w:val="0"/>
    <w:pPr>
      <w:spacing w:after="120"/>
    </w:pPr>
    <w:rPr>
      <w:sz w:val="16"/>
      <w:szCs w:val="16"/>
    </w:rPr>
  </w:style>
  <w:style w:type="paragraph" w:styleId="15">
    <w:name w:val="Body Text Indent"/>
    <w:basedOn w:val="1"/>
    <w:qFormat/>
    <w:uiPriority w:val="0"/>
    <w:pPr>
      <w:ind w:firstLine="480"/>
    </w:pPr>
    <w:rPr>
      <w:rFonts w:ascii="楷体_GB2312" w:eastAsia="楷体_GB2312"/>
      <w:sz w:val="24"/>
    </w:rPr>
  </w:style>
  <w:style w:type="paragraph" w:styleId="16">
    <w:name w:val="List Number 3"/>
    <w:basedOn w:val="1"/>
    <w:qFormat/>
    <w:uiPriority w:val="0"/>
    <w:pPr>
      <w:numPr>
        <w:ilvl w:val="2"/>
        <w:numId w:val="1"/>
      </w:numPr>
      <w:tabs>
        <w:tab w:val="left" w:pos="1226"/>
      </w:tabs>
      <w:spacing w:line="360" w:lineRule="auto"/>
    </w:pPr>
    <w:rPr>
      <w:rFonts w:ascii="Arial" w:hAnsi="Arial"/>
    </w:rPr>
  </w:style>
  <w:style w:type="paragraph" w:styleId="17">
    <w:name w:val="toc 3"/>
    <w:basedOn w:val="1"/>
    <w:next w:val="1"/>
    <w:semiHidden/>
    <w:unhideWhenUsed/>
    <w:qFormat/>
    <w:uiPriority w:val="39"/>
    <w:pPr>
      <w:ind w:left="840" w:leftChars="400"/>
    </w:pPr>
  </w:style>
  <w:style w:type="paragraph" w:styleId="18">
    <w:name w:val="Plain Text"/>
    <w:basedOn w:val="1"/>
    <w:qFormat/>
    <w:uiPriority w:val="0"/>
    <w:rPr>
      <w:rFonts w:hint="eastAsia" w:hAnsi="Courier New"/>
      <w:szCs w:val="20"/>
    </w:rPr>
  </w:style>
  <w:style w:type="paragraph" w:styleId="19">
    <w:name w:val="List Number 4"/>
    <w:basedOn w:val="1"/>
    <w:qFormat/>
    <w:uiPriority w:val="0"/>
    <w:pPr>
      <w:numPr>
        <w:ilvl w:val="3"/>
        <w:numId w:val="1"/>
      </w:numPr>
      <w:spacing w:line="360" w:lineRule="auto"/>
    </w:pPr>
    <w:rPr>
      <w:rFonts w:ascii="Arial" w:hAnsi="Arial"/>
    </w:rPr>
  </w:style>
  <w:style w:type="paragraph" w:styleId="20">
    <w:name w:val="Date"/>
    <w:basedOn w:val="1"/>
    <w:next w:val="1"/>
    <w:qFormat/>
    <w:uiPriority w:val="0"/>
    <w:pPr>
      <w:ind w:left="100" w:leftChars="2500"/>
    </w:pPr>
    <w:rPr>
      <w:rFonts w:ascii="仿宋_GB2312" w:eastAsia="仿宋_GB2312"/>
      <w:sz w:val="24"/>
    </w:rPr>
  </w:style>
  <w:style w:type="paragraph" w:styleId="21">
    <w:name w:val="Body Text Indent 2"/>
    <w:basedOn w:val="1"/>
    <w:qFormat/>
    <w:uiPriority w:val="0"/>
    <w:pPr>
      <w:spacing w:line="360" w:lineRule="exact"/>
      <w:ind w:firstLine="420"/>
    </w:pPr>
    <w:rPr>
      <w:szCs w:val="21"/>
    </w:rPr>
  </w:style>
  <w:style w:type="paragraph" w:styleId="22">
    <w:name w:val="Balloon Text"/>
    <w:basedOn w:val="1"/>
    <w:qFormat/>
    <w:uiPriority w:val="0"/>
    <w:rPr>
      <w:sz w:val="18"/>
      <w:szCs w:val="18"/>
    </w:rPr>
  </w:style>
  <w:style w:type="paragraph" w:styleId="23">
    <w:name w:val="footer"/>
    <w:basedOn w:val="1"/>
    <w:link w:val="43"/>
    <w:qFormat/>
    <w:uiPriority w:val="99"/>
    <w:pPr>
      <w:tabs>
        <w:tab w:val="center" w:pos="4153"/>
        <w:tab w:val="right" w:pos="8306"/>
      </w:tabs>
      <w:jc w:val="left"/>
    </w:pPr>
    <w:rPr>
      <w:rFonts w:ascii="Times New Roman" w:hAnsi="Times New Roman"/>
      <w:sz w:val="18"/>
      <w:szCs w:val="18"/>
      <w:lang w:val="zh-CN"/>
    </w:rPr>
  </w:style>
  <w:style w:type="paragraph" w:styleId="24">
    <w:name w:val="header"/>
    <w:basedOn w:val="1"/>
    <w:link w:val="50"/>
    <w:qFormat/>
    <w:uiPriority w:val="0"/>
    <w:pPr>
      <w:pBdr>
        <w:bottom w:val="single" w:color="auto" w:sz="6" w:space="1"/>
      </w:pBdr>
      <w:tabs>
        <w:tab w:val="center" w:pos="4153"/>
        <w:tab w:val="right" w:pos="8306"/>
      </w:tabs>
      <w:jc w:val="center"/>
    </w:pPr>
    <w:rPr>
      <w:sz w:val="18"/>
      <w:szCs w:val="18"/>
      <w:lang w:val="zh-CN"/>
    </w:rPr>
  </w:style>
  <w:style w:type="paragraph" w:styleId="25">
    <w:name w:val="toc 1"/>
    <w:basedOn w:val="1"/>
    <w:next w:val="1"/>
    <w:semiHidden/>
    <w:unhideWhenUsed/>
    <w:qFormat/>
    <w:uiPriority w:val="39"/>
  </w:style>
  <w:style w:type="paragraph" w:styleId="26">
    <w:name w:val="Subtitle"/>
    <w:basedOn w:val="1"/>
    <w:next w:val="1"/>
    <w:link w:val="76"/>
    <w:qFormat/>
    <w:uiPriority w:val="0"/>
    <w:pPr>
      <w:adjustRightInd/>
      <w:snapToGrid/>
      <w:spacing w:before="240" w:after="60" w:line="312" w:lineRule="auto"/>
      <w:ind w:firstLine="0" w:firstLineChars="0"/>
      <w:jc w:val="center"/>
      <w:outlineLvl w:val="1"/>
    </w:pPr>
    <w:rPr>
      <w:rFonts w:ascii="Cambria" w:hAnsi="Cambria"/>
      <w:b/>
      <w:bCs/>
      <w:kern w:val="28"/>
      <w:sz w:val="32"/>
      <w:szCs w:val="32"/>
      <w:lang w:val="zh-CN"/>
    </w:rPr>
  </w:style>
  <w:style w:type="paragraph" w:styleId="27">
    <w:name w:val="List Number 5"/>
    <w:basedOn w:val="1"/>
    <w:qFormat/>
    <w:uiPriority w:val="0"/>
    <w:pPr>
      <w:numPr>
        <w:ilvl w:val="4"/>
        <w:numId w:val="1"/>
      </w:numPr>
      <w:tabs>
        <w:tab w:val="left" w:pos="2160"/>
      </w:tabs>
      <w:spacing w:line="360" w:lineRule="auto"/>
    </w:pPr>
    <w:rPr>
      <w:rFonts w:ascii="Arial" w:hAnsi="Arial"/>
    </w:rPr>
  </w:style>
  <w:style w:type="paragraph" w:styleId="28">
    <w:name w:val="footnote text"/>
    <w:basedOn w:val="1"/>
    <w:qFormat/>
    <w:uiPriority w:val="0"/>
    <w:pPr>
      <w:jc w:val="left"/>
    </w:pPr>
    <w:rPr>
      <w:sz w:val="18"/>
      <w:szCs w:val="18"/>
    </w:rPr>
  </w:style>
  <w:style w:type="paragraph" w:styleId="29">
    <w:name w:val="Body Text Indent 3"/>
    <w:basedOn w:val="1"/>
    <w:qFormat/>
    <w:uiPriority w:val="0"/>
    <w:pPr>
      <w:spacing w:line="340" w:lineRule="exact"/>
      <w:ind w:firstLine="640"/>
    </w:pPr>
    <w:rPr>
      <w:sz w:val="32"/>
      <w:u w:val="single"/>
    </w:rPr>
  </w:style>
  <w:style w:type="paragraph" w:styleId="30">
    <w:name w:val="toc 2"/>
    <w:basedOn w:val="1"/>
    <w:next w:val="1"/>
    <w:semiHidden/>
    <w:unhideWhenUsed/>
    <w:qFormat/>
    <w:uiPriority w:val="39"/>
    <w:pPr>
      <w:ind w:left="420" w:leftChars="200"/>
    </w:pPr>
  </w:style>
  <w:style w:type="paragraph" w:styleId="31">
    <w:name w:val="Normal (Web)"/>
    <w:basedOn w:val="1"/>
    <w:qFormat/>
    <w:uiPriority w:val="0"/>
    <w:pPr>
      <w:widowControl/>
      <w:spacing w:before="100" w:beforeAutospacing="1" w:after="100" w:afterAutospacing="1"/>
      <w:jc w:val="left"/>
    </w:pPr>
    <w:rPr>
      <w:kern w:val="0"/>
      <w:sz w:val="24"/>
    </w:rPr>
  </w:style>
  <w:style w:type="paragraph" w:styleId="32">
    <w:name w:val="Title"/>
    <w:basedOn w:val="1"/>
    <w:link w:val="51"/>
    <w:qFormat/>
    <w:uiPriority w:val="0"/>
    <w:pPr>
      <w:adjustRightInd/>
      <w:snapToGrid/>
      <w:spacing w:before="240" w:after="60" w:line="240" w:lineRule="auto"/>
      <w:ind w:firstLine="0" w:firstLineChars="0"/>
      <w:jc w:val="center"/>
      <w:outlineLvl w:val="0"/>
    </w:pPr>
    <w:rPr>
      <w:rFonts w:ascii="Arial" w:hAnsi="Arial"/>
      <w:b/>
      <w:bCs/>
      <w:sz w:val="32"/>
      <w:szCs w:val="32"/>
      <w:lang w:val="zh-CN"/>
    </w:rPr>
  </w:style>
  <w:style w:type="paragraph" w:styleId="33">
    <w:name w:val="annotation subject"/>
    <w:basedOn w:val="12"/>
    <w:next w:val="12"/>
    <w:link w:val="42"/>
    <w:qFormat/>
    <w:uiPriority w:val="0"/>
    <w:rPr>
      <w:b/>
      <w:bCs/>
    </w:r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0"/>
    <w:rPr>
      <w:color w:val="800080"/>
      <w:u w:val="single"/>
    </w:rPr>
  </w:style>
  <w:style w:type="character" w:styleId="39">
    <w:name w:val="Hyperlink"/>
    <w:qFormat/>
    <w:uiPriority w:val="99"/>
    <w:rPr>
      <w:color w:val="000000"/>
      <w:u w:val="single"/>
    </w:rPr>
  </w:style>
  <w:style w:type="character" w:styleId="40">
    <w:name w:val="annotation reference"/>
    <w:qFormat/>
    <w:uiPriority w:val="0"/>
    <w:rPr>
      <w:sz w:val="21"/>
      <w:szCs w:val="21"/>
    </w:rPr>
  </w:style>
  <w:style w:type="character" w:customStyle="1" w:styleId="41">
    <w:name w:val="批注文字 字符"/>
    <w:link w:val="12"/>
    <w:qFormat/>
    <w:uiPriority w:val="0"/>
    <w:rPr>
      <w:kern w:val="2"/>
      <w:sz w:val="21"/>
      <w:szCs w:val="24"/>
    </w:rPr>
  </w:style>
  <w:style w:type="character" w:customStyle="1" w:styleId="42">
    <w:name w:val="批注主题 字符"/>
    <w:link w:val="33"/>
    <w:qFormat/>
    <w:uiPriority w:val="0"/>
    <w:rPr>
      <w:b/>
      <w:bCs/>
      <w:kern w:val="2"/>
      <w:sz w:val="21"/>
      <w:szCs w:val="24"/>
    </w:rPr>
  </w:style>
  <w:style w:type="character" w:customStyle="1" w:styleId="43">
    <w:name w:val="页脚 字符1"/>
    <w:link w:val="23"/>
    <w:qFormat/>
    <w:uiPriority w:val="99"/>
    <w:rPr>
      <w:kern w:val="2"/>
      <w:sz w:val="18"/>
      <w:szCs w:val="18"/>
    </w:rPr>
  </w:style>
  <w:style w:type="character" w:customStyle="1" w:styleId="44">
    <w:name w:val="文档结构图 字符"/>
    <w:link w:val="11"/>
    <w:qFormat/>
    <w:uiPriority w:val="0"/>
    <w:rPr>
      <w:rFonts w:ascii="宋体"/>
      <w:kern w:val="2"/>
      <w:sz w:val="18"/>
      <w:szCs w:val="18"/>
    </w:rPr>
  </w:style>
  <w:style w:type="character" w:customStyle="1" w:styleId="45">
    <w:name w:val="称呼 字符"/>
    <w:link w:val="13"/>
    <w:qFormat/>
    <w:uiPriority w:val="0"/>
    <w:rPr>
      <w:kern w:val="2"/>
      <w:sz w:val="21"/>
    </w:rPr>
  </w:style>
  <w:style w:type="character" w:customStyle="1" w:styleId="46">
    <w:name w:val="称呼 Char1"/>
    <w:qFormat/>
    <w:uiPriority w:val="0"/>
    <w:rPr>
      <w:kern w:val="2"/>
      <w:sz w:val="21"/>
      <w:szCs w:val="24"/>
    </w:rPr>
  </w:style>
  <w:style w:type="character" w:customStyle="1" w:styleId="47">
    <w:name w:val="标题 4 字符"/>
    <w:link w:val="7"/>
    <w:qFormat/>
    <w:uiPriority w:val="0"/>
    <w:rPr>
      <w:rFonts w:ascii="Calibri Light" w:hAnsi="Calibri Light" w:eastAsia="宋体" w:cs="Times New Roman"/>
      <w:b/>
      <w:bCs/>
      <w:kern w:val="2"/>
      <w:sz w:val="28"/>
      <w:szCs w:val="28"/>
    </w:rPr>
  </w:style>
  <w:style w:type="character" w:customStyle="1" w:styleId="48">
    <w:name w:val="正文表格 Char"/>
    <w:link w:val="49"/>
    <w:qFormat/>
    <w:uiPriority w:val="0"/>
    <w:rPr>
      <w:kern w:val="2"/>
      <w:sz w:val="21"/>
      <w:szCs w:val="22"/>
    </w:rPr>
  </w:style>
  <w:style w:type="paragraph" w:customStyle="1" w:styleId="49">
    <w:name w:val="正文表格"/>
    <w:basedOn w:val="1"/>
    <w:link w:val="48"/>
    <w:qFormat/>
    <w:uiPriority w:val="0"/>
    <w:pPr>
      <w:adjustRightInd/>
      <w:spacing w:line="240" w:lineRule="auto"/>
      <w:ind w:firstLine="0" w:firstLineChars="0"/>
    </w:pPr>
    <w:rPr>
      <w:rFonts w:ascii="Times New Roman" w:hAnsi="Times New Roman"/>
      <w:sz w:val="21"/>
      <w:szCs w:val="22"/>
      <w:lang w:val="zh-CN"/>
    </w:rPr>
  </w:style>
  <w:style w:type="character" w:customStyle="1" w:styleId="50">
    <w:name w:val="页眉 字符"/>
    <w:link w:val="24"/>
    <w:qFormat/>
    <w:uiPriority w:val="0"/>
    <w:rPr>
      <w:rFonts w:ascii="宋体" w:hAnsi="宋体"/>
      <w:kern w:val="2"/>
      <w:sz w:val="18"/>
      <w:szCs w:val="18"/>
    </w:rPr>
  </w:style>
  <w:style w:type="character" w:customStyle="1" w:styleId="51">
    <w:name w:val="标题 字符"/>
    <w:link w:val="32"/>
    <w:qFormat/>
    <w:uiPriority w:val="0"/>
    <w:rPr>
      <w:rFonts w:ascii="Arial" w:hAnsi="Arial"/>
      <w:b/>
      <w:bCs/>
      <w:kern w:val="2"/>
      <w:sz w:val="32"/>
      <w:szCs w:val="32"/>
    </w:rPr>
  </w:style>
  <w:style w:type="paragraph" w:customStyle="1" w:styleId="52">
    <w:name w:val="目录 31"/>
    <w:basedOn w:val="1"/>
    <w:next w:val="1"/>
    <w:qFormat/>
    <w:uiPriority w:val="39"/>
    <w:pPr>
      <w:ind w:left="840" w:leftChars="400"/>
    </w:pPr>
  </w:style>
  <w:style w:type="paragraph" w:customStyle="1" w:styleId="53">
    <w:name w:val="目录 11"/>
    <w:basedOn w:val="1"/>
    <w:next w:val="1"/>
    <w:qFormat/>
    <w:uiPriority w:val="39"/>
    <w:pPr>
      <w:spacing w:before="120" w:after="120" w:line="360" w:lineRule="auto"/>
      <w:ind w:firstLine="196" w:firstLineChars="196"/>
      <w:jc w:val="left"/>
    </w:pPr>
    <w:rPr>
      <w:b/>
      <w:bCs/>
      <w:caps/>
    </w:rPr>
  </w:style>
  <w:style w:type="paragraph" w:customStyle="1" w:styleId="54">
    <w:name w:val="目录 21"/>
    <w:basedOn w:val="1"/>
    <w:next w:val="1"/>
    <w:qFormat/>
    <w:uiPriority w:val="39"/>
    <w:pPr>
      <w:ind w:left="420" w:leftChars="200"/>
    </w:pPr>
  </w:style>
  <w:style w:type="paragraph" w:customStyle="1" w:styleId="55">
    <w:name w:val="Header Base"/>
    <w:basedOn w:val="2"/>
    <w:qFormat/>
    <w:uiPriority w:val="0"/>
    <w:pPr>
      <w:keepLines/>
      <w:tabs>
        <w:tab w:val="center" w:pos="4320"/>
        <w:tab w:val="right" w:pos="8640"/>
      </w:tabs>
      <w:spacing w:after="0"/>
      <w:ind w:firstLine="0"/>
      <w:jc w:val="center"/>
    </w:pPr>
    <w:rPr>
      <w:smallCaps/>
      <w:spacing w:val="15"/>
    </w:rPr>
  </w:style>
  <w:style w:type="paragraph" w:customStyle="1" w:styleId="56">
    <w:name w:val="font0"/>
    <w:basedOn w:val="1"/>
    <w:qFormat/>
    <w:uiPriority w:val="0"/>
    <w:pPr>
      <w:widowControl/>
      <w:spacing w:before="100" w:beforeAutospacing="1" w:after="100" w:afterAutospacing="1"/>
      <w:jc w:val="left"/>
    </w:pPr>
    <w:rPr>
      <w:rFonts w:hint="eastAsia"/>
      <w:kern w:val="0"/>
      <w:sz w:val="24"/>
    </w:rPr>
  </w:style>
  <w:style w:type="paragraph" w:customStyle="1" w:styleId="57">
    <w:name w:val="缺省文本"/>
    <w:basedOn w:val="1"/>
    <w:qFormat/>
    <w:uiPriority w:val="0"/>
    <w:pPr>
      <w:autoSpaceDE w:val="0"/>
      <w:autoSpaceDN w:val="0"/>
      <w:jc w:val="left"/>
    </w:pPr>
    <w:rPr>
      <w:kern w:val="0"/>
      <w:szCs w:val="20"/>
    </w:rPr>
  </w:style>
  <w:style w:type="paragraph" w:customStyle="1" w:styleId="58">
    <w:name w:val="xl25"/>
    <w:basedOn w:val="1"/>
    <w:qFormat/>
    <w:uiPriority w:val="0"/>
    <w:pPr>
      <w:widowControl/>
      <w:spacing w:before="100" w:beforeAutospacing="1" w:after="100" w:afterAutospacing="1"/>
      <w:jc w:val="center"/>
      <w:textAlignment w:val="center"/>
    </w:pPr>
    <w:rPr>
      <w:kern w:val="0"/>
      <w:sz w:val="24"/>
    </w:rPr>
  </w:style>
  <w:style w:type="paragraph" w:customStyle="1" w:styleId="59">
    <w:name w:val="font5"/>
    <w:basedOn w:val="1"/>
    <w:qFormat/>
    <w:uiPriority w:val="0"/>
    <w:pPr>
      <w:widowControl/>
      <w:spacing w:before="100" w:beforeAutospacing="1" w:after="100" w:afterAutospacing="1"/>
      <w:jc w:val="left"/>
    </w:pPr>
    <w:rPr>
      <w:rFonts w:hint="eastAsia"/>
      <w:kern w:val="0"/>
      <w:sz w:val="18"/>
      <w:szCs w:val="18"/>
    </w:rPr>
  </w:style>
  <w:style w:type="paragraph" w:customStyle="1" w:styleId="60">
    <w:name w:val="Char"/>
    <w:basedOn w:val="1"/>
    <w:qFormat/>
    <w:uiPriority w:val="0"/>
    <w:pPr>
      <w:tabs>
        <w:tab w:val="left" w:pos="360"/>
      </w:tabs>
    </w:pPr>
    <w:rPr>
      <w:sz w:val="24"/>
    </w:rPr>
  </w:style>
  <w:style w:type="paragraph" w:customStyle="1" w:styleId="61">
    <w:name w:val="xl22"/>
    <w:basedOn w:val="1"/>
    <w:qFormat/>
    <w:uiPriority w:val="0"/>
    <w:pPr>
      <w:widowControl/>
      <w:pBdr>
        <w:bottom w:val="single" w:color="auto" w:sz="4" w:space="0"/>
        <w:right w:val="single" w:color="auto" w:sz="4" w:space="0"/>
      </w:pBdr>
      <w:spacing w:before="100" w:beforeAutospacing="1" w:after="100" w:afterAutospacing="1"/>
      <w:jc w:val="center"/>
    </w:pPr>
    <w:rPr>
      <w:kern w:val="0"/>
      <w:sz w:val="24"/>
    </w:rPr>
  </w:style>
  <w:style w:type="paragraph" w:customStyle="1" w:styleId="62">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楷体_GB2312" w:eastAsia="楷体_GB2312"/>
      <w:kern w:val="0"/>
      <w:sz w:val="24"/>
    </w:rPr>
  </w:style>
  <w:style w:type="paragraph" w:customStyle="1" w:styleId="63">
    <w:name w:val="编号2"/>
    <w:basedOn w:val="1"/>
    <w:qFormat/>
    <w:uiPriority w:val="0"/>
    <w:pPr>
      <w:numPr>
        <w:ilvl w:val="0"/>
        <w:numId w:val="2"/>
      </w:numPr>
      <w:spacing w:line="360" w:lineRule="auto"/>
    </w:pPr>
    <w:rPr>
      <w:szCs w:val="20"/>
    </w:rPr>
  </w:style>
  <w:style w:type="paragraph" w:customStyle="1" w:styleId="64">
    <w:name w:val="Char1"/>
    <w:basedOn w:val="1"/>
    <w:qFormat/>
    <w:uiPriority w:val="0"/>
    <w:rPr>
      <w:szCs w:val="20"/>
    </w:rPr>
  </w:style>
  <w:style w:type="paragraph" w:customStyle="1" w:styleId="65">
    <w:name w:val="缩进正文"/>
    <w:basedOn w:val="1"/>
    <w:qFormat/>
    <w:uiPriority w:val="0"/>
    <w:pPr>
      <w:ind w:firstLine="420"/>
      <w:textAlignment w:val="bottom"/>
    </w:pPr>
    <w:rPr>
      <w:szCs w:val="20"/>
    </w:rPr>
  </w:style>
  <w:style w:type="paragraph" w:customStyle="1" w:styleId="66">
    <w:name w:val="1_0"/>
    <w:basedOn w:val="1"/>
    <w:next w:val="1"/>
    <w:qFormat/>
    <w:uiPriority w:val="0"/>
    <w:rPr>
      <w:rFonts w:hAnsi="Courier New"/>
      <w:szCs w:val="20"/>
    </w:rPr>
  </w:style>
  <w:style w:type="paragraph" w:customStyle="1" w:styleId="67">
    <w:name w:val="p16"/>
    <w:basedOn w:val="1"/>
    <w:qFormat/>
    <w:uiPriority w:val="0"/>
    <w:pPr>
      <w:widowControl/>
      <w:spacing w:line="600" w:lineRule="atLeast"/>
      <w:ind w:firstLine="615"/>
    </w:pPr>
    <w:rPr>
      <w:rFonts w:ascii="仿宋_GB2312" w:eastAsia="仿宋_GB2312" w:cs="宋体"/>
      <w:kern w:val="0"/>
    </w:rPr>
  </w:style>
  <w:style w:type="paragraph" w:customStyle="1" w:styleId="68">
    <w:name w:val="p0"/>
    <w:basedOn w:val="1"/>
    <w:qFormat/>
    <w:uiPriority w:val="0"/>
    <w:pPr>
      <w:widowControl/>
    </w:pPr>
    <w:rPr>
      <w:kern w:val="0"/>
      <w:szCs w:val="21"/>
    </w:rPr>
  </w:style>
  <w:style w:type="paragraph" w:customStyle="1" w:styleId="69">
    <w:name w:val="列出段落1"/>
    <w:basedOn w:val="1"/>
    <w:qFormat/>
    <w:uiPriority w:val="0"/>
    <w:pPr>
      <w:ind w:firstLine="420"/>
    </w:pPr>
    <w:rPr>
      <w:rFonts w:ascii="Calibri" w:hAnsi="Calibri"/>
      <w:szCs w:val="22"/>
    </w:rPr>
  </w:style>
  <w:style w:type="paragraph" w:customStyle="1" w:styleId="70">
    <w:name w:val="正文空2格  1."/>
    <w:basedOn w:val="1"/>
    <w:qFormat/>
    <w:uiPriority w:val="0"/>
    <w:pPr>
      <w:spacing w:line="360" w:lineRule="auto"/>
      <w:ind w:firstLine="480"/>
      <w:textAlignment w:val="baseline"/>
    </w:pPr>
    <w:rPr>
      <w:rFonts w:eastAsia="仿宋" w:cs="宋体"/>
      <w:kern w:val="0"/>
      <w:szCs w:val="20"/>
    </w:rPr>
  </w:style>
  <w:style w:type="paragraph" w:customStyle="1" w:styleId="71">
    <w:name w:val="TOC 标题1"/>
    <w:basedOn w:val="3"/>
    <w:next w:val="1"/>
    <w:qFormat/>
    <w:uiPriority w:val="0"/>
    <w:pPr>
      <w:widowControl/>
      <w:spacing w:before="240" w:after="0" w:line="257" w:lineRule="auto"/>
      <w:jc w:val="left"/>
      <w:outlineLvl w:val="9"/>
    </w:pPr>
    <w:rPr>
      <w:rFonts w:ascii="Calibri Light" w:hAnsi="Calibri Light"/>
      <w:b w:val="0"/>
      <w:bCs w:val="0"/>
      <w:color w:val="2E74B5"/>
      <w:kern w:val="0"/>
      <w:sz w:val="32"/>
      <w:szCs w:val="32"/>
    </w:rPr>
  </w:style>
  <w:style w:type="paragraph" w:customStyle="1" w:styleId="72">
    <w:name w:val="中等深浅网格 21"/>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character" w:customStyle="1" w:styleId="73">
    <w:name w:val="副标题 Char"/>
    <w:qFormat/>
    <w:uiPriority w:val="0"/>
    <w:rPr>
      <w:rFonts w:ascii="Cambria" w:hAnsi="Cambria"/>
      <w:b/>
      <w:bCs/>
      <w:kern w:val="28"/>
      <w:sz w:val="32"/>
      <w:szCs w:val="32"/>
    </w:rPr>
  </w:style>
  <w:style w:type="character" w:customStyle="1" w:styleId="74">
    <w:name w:val="纯文本 Char"/>
    <w:link w:val="75"/>
    <w:qFormat/>
    <w:uiPriority w:val="0"/>
    <w:rPr>
      <w:rFonts w:ascii="宋体" w:hAnsi="Courier New" w:cs="Courier New"/>
      <w:kern w:val="2"/>
      <w:sz w:val="21"/>
      <w:szCs w:val="21"/>
    </w:rPr>
  </w:style>
  <w:style w:type="paragraph" w:customStyle="1" w:styleId="75">
    <w:name w:val="纯文本1"/>
    <w:basedOn w:val="1"/>
    <w:link w:val="74"/>
    <w:qFormat/>
    <w:uiPriority w:val="0"/>
    <w:pPr>
      <w:adjustRightInd/>
      <w:snapToGrid/>
      <w:spacing w:line="240" w:lineRule="auto"/>
      <w:ind w:firstLine="0" w:firstLineChars="0"/>
    </w:pPr>
    <w:rPr>
      <w:rFonts w:hAnsi="Courier New"/>
      <w:sz w:val="21"/>
      <w:szCs w:val="21"/>
      <w:lang w:val="zh-CN"/>
    </w:rPr>
  </w:style>
  <w:style w:type="character" w:customStyle="1" w:styleId="76">
    <w:name w:val="副标题 字符"/>
    <w:link w:val="26"/>
    <w:qFormat/>
    <w:uiPriority w:val="11"/>
    <w:rPr>
      <w:rFonts w:ascii="Cambria" w:hAnsi="Cambria" w:cs="Times New Roman"/>
      <w:b/>
      <w:bCs/>
      <w:kern w:val="28"/>
      <w:sz w:val="32"/>
      <w:szCs w:val="32"/>
    </w:rPr>
  </w:style>
  <w:style w:type="character" w:customStyle="1" w:styleId="77">
    <w:name w:val="页脚 字符"/>
    <w:basedOn w:val="35"/>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3670</Words>
  <Characters>20925</Characters>
  <Lines>174</Lines>
  <Paragraphs>49</Paragraphs>
  <TotalTime>30</TotalTime>
  <ScaleCrop>false</ScaleCrop>
  <LinksUpToDate>false</LinksUpToDate>
  <CharactersWithSpaces>24546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2022-05-16T08:21:00Z</dcterms:created>
  <dcterms:modified xsi:type="dcterms:W3CDTF">2022-06-13T11:41:52Z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5129179017FE482793D43EC02D8F7289</vt:lpwstr>
  </property>
</Properties>
</file>