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3459" w:type="dxa"/>
        <w:tblInd w:w="93" w:type="dxa"/>
        <w:tblLayout w:type="fixed"/>
        <w:tblCellMar>
          <w:top w:w="0" w:type="dxa"/>
          <w:left w:w="108" w:type="dxa"/>
          <w:bottom w:w="0" w:type="dxa"/>
          <w:right w:w="108" w:type="dxa"/>
        </w:tblCellMar>
      </w:tblPr>
      <w:tblGrid>
        <w:gridCol w:w="560"/>
        <w:gridCol w:w="1582"/>
        <w:gridCol w:w="2337"/>
        <w:gridCol w:w="3330"/>
        <w:gridCol w:w="1220"/>
        <w:gridCol w:w="1903"/>
        <w:gridCol w:w="2527"/>
      </w:tblGrid>
      <w:tr>
        <w:tblPrEx>
          <w:tblCellMar>
            <w:top w:w="0" w:type="dxa"/>
            <w:left w:w="108" w:type="dxa"/>
            <w:bottom w:w="0" w:type="dxa"/>
            <w:right w:w="108" w:type="dxa"/>
          </w:tblCellMar>
        </w:tblPrEx>
        <w:trPr>
          <w:trHeight w:val="510" w:hRule="atLeast"/>
        </w:trPr>
        <w:tc>
          <w:tcPr>
            <w:tcW w:w="560" w:type="dxa"/>
            <w:tcBorders>
              <w:top w:val="nil"/>
              <w:left w:val="nil"/>
              <w:bottom w:val="nil"/>
              <w:right w:val="nil"/>
            </w:tcBorders>
            <w:shd w:val="clear" w:color="auto" w:fill="auto"/>
            <w:vAlign w:val="center"/>
          </w:tcPr>
          <w:p>
            <w:pPr>
              <w:widowControl/>
              <w:jc w:val="center"/>
              <w:rPr>
                <w:rFonts w:ascii="Times New Roman" w:hAnsi="Times New Roman" w:eastAsia="宋体" w:cs="Times New Roman"/>
                <w:color w:val="000000"/>
                <w:kern w:val="0"/>
                <w:sz w:val="22"/>
              </w:rPr>
            </w:pPr>
          </w:p>
        </w:tc>
        <w:tc>
          <w:tcPr>
            <w:tcW w:w="12899" w:type="dxa"/>
            <w:gridSpan w:val="6"/>
            <w:tcBorders>
              <w:top w:val="nil"/>
              <w:left w:val="nil"/>
              <w:bottom w:val="nil"/>
              <w:right w:val="nil"/>
            </w:tcBorders>
            <w:shd w:val="clear" w:color="auto" w:fill="auto"/>
            <w:vAlign w:val="center"/>
          </w:tcPr>
          <w:p>
            <w:pPr>
              <w:jc w:val="center"/>
              <w:rPr>
                <w:rFonts w:hint="eastAsia" w:ascii="方正小标宋_GBK" w:hAnsi="宋体" w:eastAsia="方正小标宋_GBK" w:cs="宋体"/>
                <w:color w:val="000000"/>
                <w:sz w:val="40"/>
                <w:szCs w:val="40"/>
                <w:lang w:eastAsia="zh-CN"/>
              </w:rPr>
            </w:pPr>
            <w:bookmarkStart w:id="0" w:name="RANGE!D1"/>
            <w:r>
              <w:rPr>
                <w:rFonts w:hint="eastAsia" w:ascii="方正小标宋_GBK" w:eastAsia="方正小标宋_GBK"/>
                <w:color w:val="000000"/>
                <w:sz w:val="40"/>
                <w:szCs w:val="40"/>
                <w:lang w:eastAsia="zh-CN"/>
              </w:rPr>
              <w:t>三沙</w:t>
            </w:r>
            <w:r>
              <w:rPr>
                <w:rFonts w:hint="eastAsia" w:ascii="方正小标宋_GBK" w:eastAsia="方正小标宋_GBK"/>
                <w:color w:val="000000"/>
                <w:sz w:val="40"/>
                <w:szCs w:val="40"/>
              </w:rPr>
              <w:t>海事局</w:t>
            </w:r>
            <w:bookmarkEnd w:id="0"/>
            <w:r>
              <w:rPr>
                <w:rFonts w:hint="eastAsia" w:ascii="方正小标宋_GBK" w:eastAsia="方正小标宋_GBK"/>
                <w:color w:val="000000"/>
                <w:sz w:val="40"/>
                <w:szCs w:val="40"/>
                <w:lang w:eastAsia="zh-CN"/>
              </w:rPr>
              <w:t>“双随机、一公开”抽查情况公示表</w:t>
            </w:r>
          </w:p>
        </w:tc>
      </w:tr>
      <w:tr>
        <w:tblPrEx>
          <w:tblCellMar>
            <w:top w:w="0" w:type="dxa"/>
            <w:left w:w="108" w:type="dxa"/>
            <w:bottom w:w="0" w:type="dxa"/>
            <w:right w:w="108" w:type="dxa"/>
          </w:tblCellMar>
        </w:tblPrEx>
        <w:trPr>
          <w:trHeight w:val="390" w:hRule="atLeast"/>
        </w:trPr>
        <w:tc>
          <w:tcPr>
            <w:tcW w:w="560" w:type="dxa"/>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8"/>
                <w:szCs w:val="28"/>
              </w:rPr>
            </w:pPr>
          </w:p>
        </w:tc>
        <w:tc>
          <w:tcPr>
            <w:tcW w:w="1582" w:type="dxa"/>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8"/>
                <w:szCs w:val="28"/>
              </w:rPr>
            </w:pPr>
          </w:p>
        </w:tc>
        <w:tc>
          <w:tcPr>
            <w:tcW w:w="2337" w:type="dxa"/>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8"/>
                <w:szCs w:val="28"/>
              </w:rPr>
            </w:pPr>
          </w:p>
        </w:tc>
        <w:tc>
          <w:tcPr>
            <w:tcW w:w="3330" w:type="dxa"/>
            <w:tcBorders>
              <w:top w:val="nil"/>
              <w:left w:val="nil"/>
              <w:bottom w:val="nil"/>
              <w:right w:val="nil"/>
            </w:tcBorders>
            <w:shd w:val="clear" w:color="auto" w:fill="auto"/>
            <w:vAlign w:val="center"/>
          </w:tcPr>
          <w:p>
            <w:pPr>
              <w:widowControl/>
              <w:jc w:val="left"/>
              <w:rPr>
                <w:rFonts w:hint="eastAsia"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eastAsia="zh-CN"/>
              </w:rPr>
              <w:t>抽查年度（月份）：</w:t>
            </w:r>
            <w:r>
              <w:rPr>
                <w:rFonts w:hint="eastAsia" w:ascii="仿宋" w:hAnsi="仿宋" w:eastAsia="仿宋" w:cs="仿宋"/>
                <w:color w:val="000000"/>
                <w:kern w:val="0"/>
                <w:sz w:val="28"/>
                <w:szCs w:val="28"/>
                <w:lang w:val="en-US" w:eastAsia="zh-CN"/>
              </w:rPr>
              <w:t>2022</w:t>
            </w:r>
          </w:p>
        </w:tc>
        <w:tc>
          <w:tcPr>
            <w:tcW w:w="1220" w:type="dxa"/>
            <w:tcBorders>
              <w:top w:val="nil"/>
              <w:left w:val="nil"/>
              <w:bottom w:val="nil"/>
              <w:right w:val="nil"/>
            </w:tcBorders>
            <w:shd w:val="clear" w:color="auto" w:fill="auto"/>
            <w:vAlign w:val="center"/>
          </w:tcPr>
          <w:p>
            <w:pPr>
              <w:widowControl/>
              <w:jc w:val="center"/>
              <w:rPr>
                <w:rFonts w:hint="eastAsia"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val="en-US" w:eastAsia="zh-CN"/>
              </w:rPr>
              <w:t>年6月</w:t>
            </w:r>
          </w:p>
        </w:tc>
        <w:tc>
          <w:tcPr>
            <w:tcW w:w="1903" w:type="dxa"/>
            <w:tcBorders>
              <w:top w:val="nil"/>
              <w:left w:val="nil"/>
              <w:bottom w:val="nil"/>
              <w:right w:val="nil"/>
            </w:tcBorders>
            <w:shd w:val="clear" w:color="auto" w:fill="auto"/>
            <w:vAlign w:val="center"/>
          </w:tcPr>
          <w:p>
            <w:pPr>
              <w:widowControl/>
              <w:jc w:val="left"/>
              <w:rPr>
                <w:rFonts w:hint="eastAsia" w:ascii="仿宋" w:hAnsi="仿宋" w:eastAsia="仿宋" w:cs="仿宋"/>
                <w:color w:val="000000"/>
                <w:kern w:val="0"/>
                <w:sz w:val="28"/>
                <w:szCs w:val="28"/>
                <w:lang w:eastAsia="zh-CN"/>
              </w:rPr>
            </w:pPr>
          </w:p>
        </w:tc>
        <w:tc>
          <w:tcPr>
            <w:tcW w:w="2527" w:type="dxa"/>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8"/>
                <w:szCs w:val="28"/>
              </w:rPr>
            </w:pPr>
          </w:p>
        </w:tc>
      </w:tr>
      <w:tr>
        <w:tblPrEx>
          <w:tblCellMar>
            <w:top w:w="0" w:type="dxa"/>
            <w:left w:w="108" w:type="dxa"/>
            <w:bottom w:w="0" w:type="dxa"/>
            <w:right w:w="108" w:type="dxa"/>
          </w:tblCellMar>
        </w:tblPrEx>
        <w:trPr>
          <w:trHeight w:val="285" w:hRule="atLeast"/>
        </w:trPr>
        <w:tc>
          <w:tcPr>
            <w:tcW w:w="56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序号</w:t>
            </w:r>
          </w:p>
        </w:tc>
        <w:tc>
          <w:tcPr>
            <w:tcW w:w="1582"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抽查事项名称</w:t>
            </w:r>
          </w:p>
        </w:tc>
        <w:tc>
          <w:tcPr>
            <w:tcW w:w="2337"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抽查内容</w:t>
            </w:r>
          </w:p>
        </w:tc>
        <w:tc>
          <w:tcPr>
            <w:tcW w:w="3330"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抽查对象</w:t>
            </w:r>
          </w:p>
        </w:tc>
        <w:tc>
          <w:tcPr>
            <w:tcW w:w="1220"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抽查数量</w:t>
            </w:r>
          </w:p>
        </w:tc>
        <w:tc>
          <w:tcPr>
            <w:tcW w:w="1903"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抽查结果</w:t>
            </w:r>
          </w:p>
        </w:tc>
        <w:tc>
          <w:tcPr>
            <w:tcW w:w="2527"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备注</w:t>
            </w:r>
          </w:p>
        </w:tc>
      </w:tr>
      <w:tr>
        <w:tblPrEx>
          <w:tblCellMar>
            <w:top w:w="0" w:type="dxa"/>
            <w:left w:w="108" w:type="dxa"/>
            <w:bottom w:w="0" w:type="dxa"/>
            <w:right w:w="108" w:type="dxa"/>
          </w:tblCellMar>
        </w:tblPrEx>
        <w:trPr>
          <w:trHeight w:val="298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1</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船舶污染港区水域作业监督检查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对船舶及有关作业单位落实企业安全生产责任，严格按照有关法律法规和标准的要求从事相关船舶污染港区水域作业情况进行检查。</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如下相关作业单位：</w:t>
            </w:r>
            <w:r>
              <w:rPr>
                <w:rFonts w:hint="eastAsia" w:ascii="仿宋" w:hAnsi="仿宋" w:eastAsia="仿宋" w:cs="宋体"/>
                <w:kern w:val="0"/>
                <w:sz w:val="22"/>
              </w:rPr>
              <w:br w:type="textWrapping"/>
            </w:r>
            <w:r>
              <w:rPr>
                <w:rFonts w:hint="eastAsia" w:ascii="仿宋" w:hAnsi="仿宋" w:eastAsia="仿宋" w:cs="宋体"/>
                <w:kern w:val="0"/>
                <w:sz w:val="22"/>
              </w:rPr>
              <w:t>一、在沿海港口进行舷外拷铲、油漆作业或者使用焚烧炉的；</w:t>
            </w:r>
            <w:r>
              <w:rPr>
                <w:rFonts w:hint="eastAsia" w:ascii="仿宋" w:hAnsi="仿宋" w:eastAsia="仿宋" w:cs="宋体"/>
                <w:kern w:val="0"/>
                <w:sz w:val="22"/>
              </w:rPr>
              <w:br w:type="textWrapping"/>
            </w:r>
            <w:r>
              <w:rPr>
                <w:rFonts w:hint="eastAsia" w:ascii="仿宋" w:hAnsi="仿宋" w:eastAsia="仿宋" w:cs="宋体"/>
                <w:kern w:val="0"/>
                <w:sz w:val="22"/>
              </w:rPr>
              <w:t>二、在港区水域内洗舱、清舱、驱气以及排放垃圾、生活污水、残油、含油污水、含有毒有害物质污水等污染物和压载水的；</w:t>
            </w:r>
            <w:r>
              <w:rPr>
                <w:rFonts w:hint="eastAsia" w:ascii="仿宋" w:hAnsi="仿宋" w:eastAsia="仿宋" w:cs="宋体"/>
                <w:kern w:val="0"/>
                <w:sz w:val="22"/>
              </w:rPr>
              <w:br w:type="textWrapping"/>
            </w:r>
            <w:r>
              <w:rPr>
                <w:rFonts w:hint="eastAsia" w:ascii="仿宋" w:hAnsi="仿宋" w:eastAsia="仿宋" w:cs="宋体"/>
                <w:kern w:val="0"/>
                <w:sz w:val="22"/>
              </w:rPr>
              <w:t>三、冲洗沾有污染物、有毒有害物质的甲板的；</w:t>
            </w:r>
            <w:r>
              <w:rPr>
                <w:rFonts w:hint="eastAsia" w:ascii="仿宋" w:hAnsi="仿宋" w:eastAsia="仿宋" w:cs="宋体"/>
                <w:kern w:val="0"/>
                <w:sz w:val="22"/>
              </w:rPr>
              <w:br w:type="textWrapping"/>
            </w:r>
            <w:r>
              <w:rPr>
                <w:rFonts w:hint="eastAsia" w:ascii="仿宋" w:hAnsi="仿宋" w:eastAsia="仿宋" w:cs="宋体"/>
                <w:kern w:val="0"/>
                <w:sz w:val="22"/>
              </w:rPr>
              <w:t>四、进行船舶水上拆解、打捞、修造和其他水上水下船舶施工作业的；</w:t>
            </w:r>
            <w:r>
              <w:rPr>
                <w:rFonts w:hint="eastAsia" w:ascii="仿宋" w:hAnsi="仿宋" w:eastAsia="仿宋" w:cs="宋体"/>
                <w:kern w:val="0"/>
                <w:sz w:val="22"/>
              </w:rPr>
              <w:br w:type="textWrapping"/>
            </w:r>
            <w:r>
              <w:rPr>
                <w:rFonts w:hint="eastAsia" w:ascii="仿宋" w:hAnsi="仿宋" w:eastAsia="仿宋" w:cs="宋体"/>
                <w:kern w:val="0"/>
                <w:sz w:val="22"/>
              </w:rPr>
              <w:t>五、进行船舶油料供受作业的。</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辖区无相关业务</w:t>
            </w:r>
          </w:p>
        </w:tc>
      </w:tr>
      <w:tr>
        <w:tblPrEx>
          <w:tblCellMar>
            <w:top w:w="0" w:type="dxa"/>
            <w:left w:w="108" w:type="dxa"/>
            <w:bottom w:w="0" w:type="dxa"/>
            <w:right w:w="108" w:type="dxa"/>
          </w:tblCellMar>
        </w:tblPrEx>
        <w:trPr>
          <w:trHeight w:val="244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2</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船舶载运危险货物和污染危害性货物进出港口检查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承运人、托运人或其代理人递交的申报资料实施网上受理审批，并在船舶靠港期间实施现场检查，内容包括船舶文书资料是否齐备，船舶设施、装备是否符合要求，货物积载隔离是否符合相关要求，必要时开箱查验以核实危险货物装箱情况是否符合要求等。</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承运人、托运人或其代理人</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kern w:val="0"/>
                <w:sz w:val="22"/>
                <w:lang w:eastAsia="zh-CN"/>
              </w:rPr>
            </w:pPr>
            <w:r>
              <w:rPr>
                <w:rFonts w:hint="eastAsia" w:ascii="仿宋" w:hAnsi="仿宋" w:eastAsia="仿宋" w:cs="宋体"/>
                <w:kern w:val="0"/>
                <w:sz w:val="22"/>
                <w:lang w:eastAsia="zh-CN"/>
              </w:rPr>
              <w:t>三沙辖区无</w:t>
            </w:r>
            <w:r>
              <w:rPr>
                <w:rFonts w:hint="eastAsia" w:ascii="仿宋" w:hAnsi="仿宋" w:eastAsia="仿宋" w:cs="宋体"/>
                <w:kern w:val="0"/>
                <w:sz w:val="22"/>
              </w:rPr>
              <w:t>载运危险货物</w:t>
            </w:r>
            <w:r>
              <w:rPr>
                <w:rFonts w:hint="eastAsia" w:ascii="仿宋" w:hAnsi="仿宋" w:eastAsia="仿宋" w:cs="宋体"/>
                <w:kern w:val="0"/>
                <w:sz w:val="22"/>
                <w:lang w:eastAsia="zh-CN"/>
              </w:rPr>
              <w:t>船舶</w:t>
            </w:r>
          </w:p>
        </w:tc>
      </w:tr>
      <w:tr>
        <w:tblPrEx>
          <w:tblCellMar>
            <w:top w:w="0" w:type="dxa"/>
            <w:left w:w="108" w:type="dxa"/>
            <w:bottom w:w="0" w:type="dxa"/>
            <w:right w:w="108" w:type="dxa"/>
          </w:tblCellMar>
        </w:tblPrEx>
        <w:trPr>
          <w:trHeight w:val="109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3</w:t>
            </w:r>
          </w:p>
        </w:tc>
        <w:tc>
          <w:tcPr>
            <w:tcW w:w="1582"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培训机构从事船员、引航员培训业务检查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对培训机构是否取得从事船员、引航员培训业务许可以及许可后的资质保持和培训质量管理情况进行检查。</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船员培训机构</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kern w:val="0"/>
                <w:sz w:val="22"/>
                <w:lang w:eastAsia="zh-CN"/>
              </w:rPr>
            </w:pPr>
            <w:r>
              <w:rPr>
                <w:rFonts w:hint="eastAsia" w:ascii="仿宋" w:hAnsi="仿宋" w:eastAsia="仿宋" w:cs="宋体"/>
                <w:kern w:val="0"/>
                <w:sz w:val="22"/>
                <w:lang w:eastAsia="zh-CN"/>
              </w:rPr>
              <w:t>三沙辖区无船员培训机构</w:t>
            </w:r>
          </w:p>
        </w:tc>
      </w:tr>
      <w:tr>
        <w:tblPrEx>
          <w:tblCellMar>
            <w:top w:w="0" w:type="dxa"/>
            <w:left w:w="108" w:type="dxa"/>
            <w:bottom w:w="0" w:type="dxa"/>
            <w:right w:w="108" w:type="dxa"/>
          </w:tblCellMar>
        </w:tblPrEx>
        <w:trPr>
          <w:trHeight w:val="163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4</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船舶污染物接收单位从事船舶垃圾、残油、含油污水、含有毒有害物质污水接收作业监督检查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对船舶污染物接收单位落实企业安全生产责任，严格按照有关法律法规和标准的要求从事船舶污染物接收作业情况进行检查。</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船舶污染物接收单位</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kern w:val="0"/>
                <w:sz w:val="22"/>
                <w:lang w:eastAsia="zh-CN"/>
              </w:rPr>
            </w:pPr>
            <w:r>
              <w:rPr>
                <w:rFonts w:hint="eastAsia" w:ascii="仿宋" w:hAnsi="仿宋" w:eastAsia="仿宋" w:cs="宋体"/>
                <w:kern w:val="0"/>
                <w:sz w:val="22"/>
                <w:lang w:eastAsia="zh-CN"/>
              </w:rPr>
              <w:t>三沙辖区无船舶污染物接收单位</w:t>
            </w:r>
          </w:p>
        </w:tc>
      </w:tr>
      <w:tr>
        <w:tblPrEx>
          <w:tblCellMar>
            <w:top w:w="0" w:type="dxa"/>
            <w:left w:w="108" w:type="dxa"/>
            <w:bottom w:w="0" w:type="dxa"/>
            <w:right w:w="108" w:type="dxa"/>
          </w:tblCellMar>
        </w:tblPrEx>
        <w:trPr>
          <w:trHeight w:val="190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5</w:t>
            </w:r>
          </w:p>
        </w:tc>
        <w:tc>
          <w:tcPr>
            <w:tcW w:w="1582"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通航水域岸线安全使用和水上水下活动检查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对施工单位和参与施工船舶是否按许可条件和要求落实安全生产责任制开展水上水下活动进行检查。</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建设单位、主办单位或施工单位</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hint="eastAsia" w:ascii="仿宋" w:hAnsi="仿宋" w:eastAsia="仿宋" w:cs="宋体"/>
                <w:color w:val="000000"/>
                <w:kern w:val="0"/>
                <w:sz w:val="22"/>
                <w:lang w:val="en-US" w:eastAsia="zh-CN"/>
              </w:rPr>
            </w:pP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color w:val="000000"/>
                <w:kern w:val="0"/>
                <w:sz w:val="22"/>
                <w:lang w:eastAsia="zh-CN"/>
              </w:rPr>
            </w:pP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kern w:val="0"/>
                <w:sz w:val="22"/>
                <w:lang w:val="en-US" w:eastAsia="zh-CN"/>
              </w:rPr>
            </w:pPr>
            <w:r>
              <w:rPr>
                <w:rFonts w:hint="eastAsia" w:ascii="仿宋" w:hAnsi="仿宋" w:eastAsia="仿宋" w:cs="宋体"/>
                <w:kern w:val="0"/>
                <w:sz w:val="22"/>
                <w:lang w:val="en-US" w:eastAsia="zh-CN"/>
              </w:rPr>
              <w:t>期间辖区无水工项目</w:t>
            </w:r>
          </w:p>
        </w:tc>
      </w:tr>
      <w:tr>
        <w:tblPrEx>
          <w:tblCellMar>
            <w:top w:w="0" w:type="dxa"/>
            <w:left w:w="108" w:type="dxa"/>
            <w:bottom w:w="0" w:type="dxa"/>
            <w:right w:w="108" w:type="dxa"/>
          </w:tblCellMar>
        </w:tblPrEx>
        <w:trPr>
          <w:trHeight w:val="109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6</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大型设施、移动式平台、超限物体水上拖带活动检查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对拖带活动组织单位和参与拖带的船舶是否按许可条件和要求落实安全生产责任制开展水上水下活动进行检查。</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拖带活动组织单位</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color w:val="000000"/>
                <w:kern w:val="0"/>
                <w:sz w:val="22"/>
                <w:lang w:eastAsia="zh-CN"/>
              </w:rPr>
            </w:pP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kern w:val="0"/>
                <w:sz w:val="22"/>
                <w:lang w:eastAsia="zh-CN"/>
              </w:rPr>
            </w:pPr>
            <w:r>
              <w:rPr>
                <w:rFonts w:hint="eastAsia" w:ascii="仿宋" w:hAnsi="仿宋" w:eastAsia="仿宋" w:cs="宋体"/>
                <w:kern w:val="0"/>
                <w:sz w:val="22"/>
                <w:lang w:eastAsia="zh-CN"/>
              </w:rPr>
              <w:t>期间辖区无相关业务</w:t>
            </w:r>
          </w:p>
        </w:tc>
      </w:tr>
      <w:tr>
        <w:tblPrEx>
          <w:tblCellMar>
            <w:top w:w="0" w:type="dxa"/>
            <w:left w:w="108" w:type="dxa"/>
            <w:bottom w:w="0" w:type="dxa"/>
            <w:right w:w="108" w:type="dxa"/>
          </w:tblCellMar>
        </w:tblPrEx>
        <w:trPr>
          <w:trHeight w:val="244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7</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港口、码头、装卸站以及从事船舶修造、打捞、拆解等作业活动的单位防治船舶污染能力</w:t>
            </w:r>
            <w:r>
              <w:rPr>
                <w:rFonts w:hint="eastAsia" w:ascii="仿宋" w:hAnsi="仿宋" w:eastAsia="仿宋" w:cs="宋体"/>
                <w:color w:val="auto"/>
                <w:kern w:val="0"/>
                <w:sz w:val="22"/>
              </w:rPr>
              <w:t>专项验收监督检查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港口、码头、装卸站以及从事船舶修造、打捞、拆解等作业活动的单位保持相应的船舶污染防治能力，配备与其装卸货物种类和吞吐能力或者修造船舶能力相适应的污染监视设施、污染物接收设施及必要的防污染设备和器材，并处于良好状态等情况进行检查。</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港口、码头、装卸站以及从事船舶修造、打捞、拆解等作业活动的单位</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2"/>
              </w:rPr>
            </w:pP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000000"/>
                <w:kern w:val="0"/>
                <w:sz w:val="22"/>
              </w:rPr>
            </w:pP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kern w:val="0"/>
                <w:sz w:val="22"/>
                <w:lang w:eastAsia="zh-CN"/>
              </w:rPr>
            </w:pPr>
            <w:r>
              <w:rPr>
                <w:rFonts w:hint="eastAsia" w:ascii="仿宋" w:hAnsi="仿宋" w:eastAsia="仿宋" w:cs="宋体"/>
                <w:kern w:val="0"/>
                <w:sz w:val="22"/>
                <w:lang w:eastAsia="zh-CN"/>
              </w:rPr>
              <w:t>期间辖区无相关业务</w:t>
            </w:r>
          </w:p>
        </w:tc>
      </w:tr>
      <w:tr>
        <w:tblPrEx>
          <w:tblCellMar>
            <w:top w:w="0" w:type="dxa"/>
            <w:left w:w="108" w:type="dxa"/>
            <w:bottom w:w="0" w:type="dxa"/>
            <w:right w:w="108" w:type="dxa"/>
          </w:tblCellMar>
        </w:tblPrEx>
        <w:trPr>
          <w:trHeight w:val="163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8</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船舶进出港口检查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对国际航行船舶进出口岸的许可办理手续情况进行检查；对国内航行船舶进出港口履行报告情况进行检查。</w:t>
            </w:r>
          </w:p>
        </w:tc>
        <w:tc>
          <w:tcPr>
            <w:tcW w:w="3330"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kern w:val="0"/>
                <w:sz w:val="22"/>
                <w:lang w:val="en-US" w:eastAsia="zh-CN"/>
              </w:rPr>
              <w:t>6月份，三沙辖区</w:t>
            </w:r>
            <w:r>
              <w:rPr>
                <w:rFonts w:hint="eastAsia" w:ascii="仿宋" w:hAnsi="仿宋" w:eastAsia="仿宋" w:cs="宋体"/>
                <w:kern w:val="0"/>
                <w:sz w:val="22"/>
              </w:rPr>
              <w:t>国内航行船舶</w:t>
            </w:r>
            <w:r>
              <w:rPr>
                <w:rFonts w:hint="eastAsia" w:ascii="仿宋" w:hAnsi="仿宋" w:eastAsia="仿宋" w:cs="宋体"/>
                <w:kern w:val="0"/>
                <w:sz w:val="22"/>
                <w:lang w:eastAsia="zh-CN"/>
              </w:rPr>
              <w:t>进出港共计</w:t>
            </w:r>
            <w:r>
              <w:rPr>
                <w:rFonts w:hint="eastAsia" w:ascii="仿宋" w:hAnsi="仿宋" w:eastAsia="仿宋" w:cs="宋体"/>
                <w:kern w:val="0"/>
                <w:sz w:val="22"/>
                <w:lang w:val="en-US" w:eastAsia="zh-CN"/>
              </w:rPr>
              <w:t>289艘次</w:t>
            </w: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lang w:val="en-US" w:eastAsia="zh-CN"/>
              </w:rPr>
              <w:t>未发现问题</w:t>
            </w: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kern w:val="0"/>
                <w:sz w:val="22"/>
                <w:lang w:eastAsia="zh-CN"/>
              </w:rPr>
            </w:pPr>
            <w:r>
              <w:rPr>
                <w:rFonts w:hint="eastAsia" w:ascii="仿宋" w:hAnsi="仿宋" w:eastAsia="仿宋" w:cs="宋体"/>
                <w:kern w:val="0"/>
                <w:sz w:val="22"/>
                <w:lang w:eastAsia="zh-CN"/>
              </w:rPr>
              <w:t>三沙辖区无</w:t>
            </w:r>
            <w:r>
              <w:rPr>
                <w:rFonts w:hint="eastAsia" w:ascii="仿宋" w:hAnsi="仿宋" w:eastAsia="仿宋" w:cs="宋体"/>
                <w:kern w:val="0"/>
                <w:sz w:val="22"/>
              </w:rPr>
              <w:t>国际航行船舶进出口岸</w:t>
            </w:r>
            <w:r>
              <w:rPr>
                <w:rFonts w:hint="eastAsia" w:ascii="仿宋" w:hAnsi="仿宋" w:eastAsia="仿宋" w:cs="宋体"/>
                <w:kern w:val="0"/>
                <w:sz w:val="22"/>
                <w:lang w:eastAsia="zh-CN"/>
              </w:rPr>
              <w:t>；</w:t>
            </w:r>
          </w:p>
          <w:p>
            <w:pPr>
              <w:widowControl/>
              <w:jc w:val="left"/>
              <w:rPr>
                <w:rFonts w:hint="default" w:ascii="仿宋" w:hAnsi="仿宋" w:eastAsia="仿宋" w:cs="宋体"/>
                <w:kern w:val="0"/>
                <w:sz w:val="22"/>
                <w:lang w:val="en-US" w:eastAsia="zh-CN"/>
              </w:rPr>
            </w:pPr>
          </w:p>
        </w:tc>
      </w:tr>
      <w:tr>
        <w:tblPrEx>
          <w:tblCellMar>
            <w:top w:w="0" w:type="dxa"/>
            <w:left w:w="108" w:type="dxa"/>
            <w:bottom w:w="0" w:type="dxa"/>
            <w:right w:w="108" w:type="dxa"/>
          </w:tblCellMar>
        </w:tblPrEx>
        <w:trPr>
          <w:trHeight w:val="82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9</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船舶安全检验证书核发检查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对船舶检验证书核发的正确性、准确性及船舶持有检验证书的情况进行检查。</w:t>
            </w:r>
          </w:p>
        </w:tc>
        <w:tc>
          <w:tcPr>
            <w:tcW w:w="3330"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lang w:val="en-US" w:eastAsia="zh-CN"/>
              </w:rPr>
              <w:t>共计检查11艘次</w:t>
            </w: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lang w:val="en-US" w:eastAsia="zh-CN"/>
              </w:rPr>
              <w:t>未发现问题</w:t>
            </w: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default" w:ascii="仿宋" w:hAnsi="仿宋" w:eastAsia="仿宋" w:cs="宋体"/>
                <w:kern w:val="0"/>
                <w:sz w:val="22"/>
                <w:lang w:val="en-US" w:eastAsia="zh-CN"/>
              </w:rPr>
            </w:pPr>
          </w:p>
        </w:tc>
      </w:tr>
      <w:tr>
        <w:tblPrEx>
          <w:tblCellMar>
            <w:top w:w="0" w:type="dxa"/>
            <w:left w:w="108" w:type="dxa"/>
            <w:bottom w:w="0" w:type="dxa"/>
            <w:right w:w="108" w:type="dxa"/>
          </w:tblCellMar>
        </w:tblPrEx>
        <w:trPr>
          <w:trHeight w:val="109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10</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船舶国籍证书核发检查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对已核发国籍证书的有效期是否正确、相关信息系统中国籍信息是否与档案材料一致等情况进行检查。</w:t>
            </w:r>
          </w:p>
        </w:tc>
        <w:tc>
          <w:tcPr>
            <w:tcW w:w="3330"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lang w:val="en-US" w:eastAsia="zh-CN"/>
              </w:rPr>
              <w:t>共计检查11艘次</w:t>
            </w: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kern w:val="0"/>
                <w:sz w:val="22"/>
                <w:lang w:val="en" w:eastAsia="zh-CN"/>
              </w:rPr>
            </w:pPr>
            <w:r>
              <w:rPr>
                <w:rFonts w:hint="eastAsia" w:ascii="仿宋" w:hAnsi="仿宋" w:eastAsia="仿宋" w:cs="宋体"/>
                <w:kern w:val="0"/>
                <w:sz w:val="22"/>
                <w:lang w:val="en" w:eastAsia="zh-CN"/>
              </w:rPr>
              <w:t>未发现问题</w:t>
            </w: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p>
        </w:tc>
      </w:tr>
      <w:tr>
        <w:tblPrEx>
          <w:tblCellMar>
            <w:top w:w="0" w:type="dxa"/>
            <w:left w:w="108" w:type="dxa"/>
            <w:bottom w:w="0" w:type="dxa"/>
            <w:right w:w="108" w:type="dxa"/>
          </w:tblCellMar>
        </w:tblPrEx>
        <w:trPr>
          <w:trHeight w:val="163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11</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船舶所有人、经营人或者管理人防止船舶及其有关作业活动污染海洋环境应急预案检查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对船舶所有人、经营人或者管理人防止船舶及其有关作业活动污染海洋环境应急预案是否与船舶实际情况相一致、是否按照预案要求开展演习和培训等情况进行检查。</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船舶所有人、经营人或者管理人</w:t>
            </w:r>
          </w:p>
        </w:tc>
        <w:tc>
          <w:tcPr>
            <w:tcW w:w="1220" w:type="dxa"/>
            <w:tcBorders>
              <w:top w:val="nil"/>
              <w:left w:val="nil"/>
              <w:bottom w:val="single" w:color="000000" w:sz="8" w:space="0"/>
              <w:right w:val="single" w:color="000000" w:sz="8" w:space="0"/>
            </w:tcBorders>
            <w:shd w:val="clear" w:color="auto" w:fill="auto"/>
            <w:vAlign w:val="center"/>
          </w:tcPr>
          <w:p>
            <w:pPr>
              <w:widowControl/>
              <w:jc w:val="both"/>
              <w:rPr>
                <w:rFonts w:hint="default" w:ascii="仿宋" w:hAnsi="仿宋" w:eastAsia="仿宋" w:cs="宋体"/>
                <w:kern w:val="0"/>
                <w:sz w:val="22"/>
                <w:lang w:val="en-US" w:eastAsia="zh-CN"/>
              </w:rPr>
            </w:pPr>
            <w:r>
              <w:rPr>
                <w:rFonts w:hint="eastAsia" w:ascii="仿宋" w:hAnsi="仿宋" w:eastAsia="仿宋" w:cs="宋体"/>
                <w:kern w:val="0"/>
                <w:sz w:val="22"/>
                <w:lang w:val="en-US" w:eastAsia="zh-CN"/>
              </w:rPr>
              <w:t>1艘次</w:t>
            </w: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kern w:val="0"/>
                <w:sz w:val="22"/>
                <w:lang w:val="en-US" w:eastAsia="zh-CN"/>
              </w:rPr>
            </w:pPr>
            <w:r>
              <w:rPr>
                <w:rFonts w:hint="eastAsia" w:ascii="仿宋" w:hAnsi="仿宋" w:eastAsia="仿宋" w:cs="宋体"/>
                <w:kern w:val="0"/>
                <w:sz w:val="22"/>
                <w:lang w:val="en-US" w:eastAsia="zh-CN"/>
              </w:rPr>
              <w:t>发现“江鹏16”轮航海日志2022年5月25日演习记录内容不全，责令下一次记录纠正。</w:t>
            </w:r>
          </w:p>
          <w:p>
            <w:pPr>
              <w:widowControl/>
              <w:jc w:val="left"/>
              <w:rPr>
                <w:rFonts w:hint="default" w:ascii="仿宋" w:hAnsi="仿宋" w:eastAsia="仿宋" w:cs="宋体"/>
                <w:kern w:val="0"/>
                <w:sz w:val="22"/>
                <w:lang w:val="en-US" w:eastAsia="zh-CN"/>
              </w:rPr>
            </w:pP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p>
        </w:tc>
      </w:tr>
      <w:tr>
        <w:tblPrEx>
          <w:tblCellMar>
            <w:top w:w="0" w:type="dxa"/>
            <w:left w:w="108" w:type="dxa"/>
            <w:bottom w:w="0" w:type="dxa"/>
            <w:right w:w="108" w:type="dxa"/>
          </w:tblCellMar>
        </w:tblPrEx>
        <w:trPr>
          <w:trHeight w:val="217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12</w:t>
            </w:r>
          </w:p>
        </w:tc>
        <w:tc>
          <w:tcPr>
            <w:tcW w:w="1582"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船舶油污损害民事责任保险证书或者财务保证证书核发检查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于国际航行船舶，通过船舶进出口岸申报审批进行核查，并通过船舶现场监督检查进行抽查；对于国内沿海航行船舶，通过现场监督检查进行事中事后抽查，检查内容包括船舶是否随船携带证书，证书是否处于有效期内等。</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航运公司（含船舶管理人）</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lang w:val="en-US" w:eastAsia="zh-CN"/>
              </w:rPr>
              <w:t>1艘次</w:t>
            </w: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default" w:ascii="仿宋" w:hAnsi="仿宋" w:eastAsia="仿宋" w:cs="宋体"/>
                <w:kern w:val="0"/>
                <w:sz w:val="22"/>
                <w:lang w:val="en-US" w:eastAsia="zh-CN"/>
              </w:rPr>
            </w:pPr>
            <w:bookmarkStart w:id="1" w:name="_GoBack"/>
            <w:bookmarkEnd w:id="1"/>
            <w:r>
              <w:rPr>
                <w:rFonts w:hint="eastAsia" w:ascii="仿宋" w:hAnsi="仿宋" w:eastAsia="仿宋" w:cs="宋体"/>
                <w:kern w:val="0"/>
                <w:sz w:val="22"/>
                <w:lang w:eastAsia="zh-CN"/>
              </w:rPr>
              <w:t>三沙辖区无</w:t>
            </w:r>
            <w:r>
              <w:rPr>
                <w:rFonts w:hint="eastAsia" w:ascii="仿宋" w:hAnsi="仿宋" w:eastAsia="仿宋" w:cs="宋体"/>
                <w:kern w:val="0"/>
                <w:sz w:val="22"/>
              </w:rPr>
              <w:t>国际航行船舶</w:t>
            </w:r>
            <w:r>
              <w:rPr>
                <w:rFonts w:hint="eastAsia" w:ascii="仿宋" w:hAnsi="仿宋" w:eastAsia="仿宋" w:cs="宋体"/>
                <w:kern w:val="0"/>
                <w:sz w:val="22"/>
                <w:lang w:eastAsia="zh-CN"/>
              </w:rPr>
              <w:t>；</w:t>
            </w:r>
          </w:p>
        </w:tc>
      </w:tr>
      <w:tr>
        <w:tblPrEx>
          <w:tblCellMar>
            <w:top w:w="0" w:type="dxa"/>
            <w:left w:w="108" w:type="dxa"/>
            <w:bottom w:w="0" w:type="dxa"/>
            <w:right w:w="108" w:type="dxa"/>
          </w:tblCellMar>
        </w:tblPrEx>
        <w:trPr>
          <w:trHeight w:val="136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13</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危险化学品水路运输人员资质检查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对取得危险化学品水路运输资质的申报人员申报是否符合规定、是否如实申报、装箱检查员装箱质量等从业行为进行检查。</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水路运输企业、申报员、检查员</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kern w:val="0"/>
                <w:sz w:val="22"/>
                <w:lang w:eastAsia="zh-CN"/>
              </w:rPr>
            </w:pPr>
            <w:r>
              <w:rPr>
                <w:rFonts w:hint="eastAsia" w:ascii="仿宋" w:hAnsi="仿宋" w:eastAsia="仿宋" w:cs="宋体"/>
                <w:kern w:val="0"/>
                <w:sz w:val="22"/>
                <w:lang w:eastAsia="zh-CN"/>
              </w:rPr>
              <w:t>三沙辖区无</w:t>
            </w:r>
            <w:r>
              <w:rPr>
                <w:rFonts w:hint="eastAsia" w:ascii="仿宋" w:hAnsi="仿宋" w:eastAsia="仿宋" w:cs="宋体"/>
                <w:kern w:val="0"/>
                <w:sz w:val="22"/>
              </w:rPr>
              <w:t>危险化学品</w:t>
            </w:r>
            <w:r>
              <w:rPr>
                <w:rFonts w:hint="eastAsia" w:ascii="仿宋" w:hAnsi="仿宋" w:eastAsia="仿宋" w:cs="宋体"/>
                <w:kern w:val="0"/>
                <w:sz w:val="22"/>
                <w:lang w:eastAsia="zh-CN"/>
              </w:rPr>
              <w:t>运输船舶</w:t>
            </w:r>
          </w:p>
        </w:tc>
      </w:tr>
      <w:tr>
        <w:tblPrEx>
          <w:tblCellMar>
            <w:top w:w="0" w:type="dxa"/>
            <w:left w:w="108" w:type="dxa"/>
            <w:bottom w:w="0" w:type="dxa"/>
            <w:right w:w="108" w:type="dxa"/>
          </w:tblCellMar>
        </w:tblPrEx>
        <w:trPr>
          <w:trHeight w:val="163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14</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船舶电台执照核发检查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船舶是否按照规定持有船舶电台执照；船舶电台执照是否存在伪造、涂改情况；船舶电台执照是否在有效期内；船舶电台执照所载明事项是否与船舶的实际情况相符。</w:t>
            </w:r>
          </w:p>
        </w:tc>
        <w:tc>
          <w:tcPr>
            <w:tcW w:w="3330"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hint="default" w:ascii="仿宋" w:hAnsi="仿宋" w:eastAsia="仿宋" w:cs="宋体"/>
                <w:kern w:val="0"/>
                <w:sz w:val="22"/>
                <w:lang w:val="en-US" w:eastAsia="zh-CN"/>
              </w:rPr>
            </w:pPr>
            <w:r>
              <w:rPr>
                <w:rFonts w:hint="eastAsia" w:ascii="仿宋" w:hAnsi="仿宋" w:eastAsia="仿宋" w:cs="宋体"/>
                <w:kern w:val="0"/>
                <w:sz w:val="22"/>
                <w:lang w:val="en-US" w:eastAsia="zh-CN"/>
              </w:rPr>
              <w:t>共计检查11艘次</w:t>
            </w: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kern w:val="0"/>
                <w:sz w:val="22"/>
                <w:lang w:eastAsia="zh-CN"/>
              </w:rPr>
            </w:pPr>
            <w:r>
              <w:rPr>
                <w:rFonts w:hint="eastAsia" w:ascii="仿宋" w:hAnsi="仿宋" w:eastAsia="仿宋" w:cs="宋体"/>
                <w:kern w:val="0"/>
                <w:sz w:val="22"/>
                <w:lang w:val="en" w:eastAsia="zh-CN"/>
              </w:rPr>
              <w:t>未发现问题</w:t>
            </w: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default" w:ascii="仿宋" w:hAnsi="仿宋" w:eastAsia="仿宋" w:cs="宋体"/>
                <w:kern w:val="0"/>
                <w:sz w:val="22"/>
                <w:lang w:val="en-US" w:eastAsia="zh-CN"/>
              </w:rPr>
            </w:pPr>
          </w:p>
        </w:tc>
      </w:tr>
      <w:tr>
        <w:tblPrEx>
          <w:tblCellMar>
            <w:top w:w="0" w:type="dxa"/>
            <w:left w:w="108" w:type="dxa"/>
            <w:bottom w:w="0" w:type="dxa"/>
            <w:right w:w="108" w:type="dxa"/>
          </w:tblCellMar>
        </w:tblPrEx>
        <w:trPr>
          <w:trHeight w:val="163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15</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海上移动通信业务标识码证书（船舶自动识别系统AIS标识码证书）核发检查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船舶是否按照规定持有标识码证书；标识码证书是否存在伪造、涂改情况；标识码证书是否在有效期内；标识码证书所载明事项是否与船舶的实际情况相符。</w:t>
            </w:r>
          </w:p>
        </w:tc>
        <w:tc>
          <w:tcPr>
            <w:tcW w:w="3330"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lang w:val="en-US" w:eastAsia="zh-CN"/>
              </w:rPr>
              <w:t>共计检查11艘次</w:t>
            </w: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lang w:val="en" w:eastAsia="zh-CN"/>
              </w:rPr>
              <w:t>未发现问题</w:t>
            </w: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default" w:ascii="仿宋" w:hAnsi="仿宋" w:eastAsia="仿宋" w:cs="宋体"/>
                <w:kern w:val="0"/>
                <w:sz w:val="22"/>
                <w:lang w:val="en-US" w:eastAsia="zh-CN"/>
              </w:rPr>
            </w:pPr>
          </w:p>
        </w:tc>
      </w:tr>
      <w:tr>
        <w:tblPrEx>
          <w:tblCellMar>
            <w:top w:w="0" w:type="dxa"/>
            <w:left w:w="108" w:type="dxa"/>
            <w:bottom w:w="0" w:type="dxa"/>
            <w:right w:w="108" w:type="dxa"/>
          </w:tblCellMar>
        </w:tblPrEx>
        <w:trPr>
          <w:trHeight w:val="82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highlight w:val="yellow"/>
              </w:rPr>
            </w:pPr>
            <w:r>
              <w:rPr>
                <w:rFonts w:hint="eastAsia" w:ascii="仿宋" w:hAnsi="仿宋" w:eastAsia="仿宋" w:cs="宋体"/>
                <w:kern w:val="0"/>
                <w:sz w:val="22"/>
              </w:rPr>
              <w:t>16</w:t>
            </w:r>
          </w:p>
        </w:tc>
        <w:tc>
          <w:tcPr>
            <w:tcW w:w="1582"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水上无线电通信秩序监督检查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对无线频率、电台呼号、船舶电台等水上无线电使用情况进行检查。</w:t>
            </w:r>
          </w:p>
        </w:tc>
        <w:tc>
          <w:tcPr>
            <w:tcW w:w="3330"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lang w:val="en-US" w:eastAsia="zh-CN"/>
              </w:rPr>
              <w:t>共计检查11艘次</w:t>
            </w: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lang w:val="en" w:eastAsia="zh-CN"/>
              </w:rPr>
              <w:t>未发现问题</w:t>
            </w: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default" w:ascii="仿宋" w:hAnsi="仿宋" w:eastAsia="仿宋" w:cs="宋体"/>
                <w:kern w:val="0"/>
                <w:sz w:val="22"/>
                <w:lang w:val="en-US" w:eastAsia="zh-CN"/>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340"/>
    <w:rsid w:val="00177574"/>
    <w:rsid w:val="00484575"/>
    <w:rsid w:val="00521340"/>
    <w:rsid w:val="00DA3531"/>
    <w:rsid w:val="00E126B4"/>
    <w:rsid w:val="24214CB8"/>
    <w:rsid w:val="3FF37388"/>
    <w:rsid w:val="4CDAA4C3"/>
    <w:rsid w:val="4DBBD011"/>
    <w:rsid w:val="4E145C6F"/>
    <w:rsid w:val="5B1A754D"/>
    <w:rsid w:val="5E5754DB"/>
    <w:rsid w:val="5F5FFBF7"/>
    <w:rsid w:val="6F6F5A36"/>
    <w:rsid w:val="6FAF216B"/>
    <w:rsid w:val="73FD92A1"/>
    <w:rsid w:val="75B544F5"/>
    <w:rsid w:val="7A3DC858"/>
    <w:rsid w:val="7B5BB26C"/>
    <w:rsid w:val="7FCB816D"/>
    <w:rsid w:val="7FFF156F"/>
    <w:rsid w:val="BA7B23C6"/>
    <w:rsid w:val="DAE7868C"/>
    <w:rsid w:val="DFFF93C9"/>
    <w:rsid w:val="EFD66961"/>
    <w:rsid w:val="F93F3A0F"/>
    <w:rsid w:val="FFBF41EE"/>
    <w:rsid w:val="FFD765EC"/>
    <w:rsid w:val="FFF9B1E9"/>
    <w:rsid w:val="FFFFDBB4"/>
    <w:rsid w:val="FFFFE1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364</Words>
  <Characters>2079</Characters>
  <Lines>17</Lines>
  <Paragraphs>4</Paragraphs>
  <TotalTime>0</TotalTime>
  <ScaleCrop>false</ScaleCrop>
  <LinksUpToDate>false</LinksUpToDate>
  <CharactersWithSpaces>2439</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2019-11-11T07:26:00Z</dcterms:created>
  <dc:creator>DC</dc:creator>
  <cp:lastModifiedBy>kylin</cp:lastModifiedBy>
  <dcterms:modified xsi:type="dcterms:W3CDTF">2022-11-17T11:26:52Z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