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59" w:type="dxa"/>
        <w:tblInd w:w="93" w:type="dxa"/>
        <w:tblLayout w:type="fixed"/>
        <w:tblCellMar>
          <w:top w:w="0" w:type="dxa"/>
          <w:left w:w="108" w:type="dxa"/>
          <w:bottom w:w="0" w:type="dxa"/>
          <w:right w:w="108" w:type="dxa"/>
        </w:tblCellMar>
      </w:tblPr>
      <w:tblGrid>
        <w:gridCol w:w="560"/>
        <w:gridCol w:w="1582"/>
        <w:gridCol w:w="2337"/>
        <w:gridCol w:w="3330"/>
        <w:gridCol w:w="1220"/>
        <w:gridCol w:w="1903"/>
        <w:gridCol w:w="2527"/>
      </w:tblGrid>
      <w:tr>
        <w:tblPrEx>
          <w:tblCellMar>
            <w:top w:w="0" w:type="dxa"/>
            <w:left w:w="108" w:type="dxa"/>
            <w:bottom w:w="0" w:type="dxa"/>
            <w:right w:w="108" w:type="dxa"/>
          </w:tblCellMar>
        </w:tblPrEx>
        <w:trPr>
          <w:trHeight w:val="510" w:hRule="atLeast"/>
        </w:trPr>
        <w:tc>
          <w:tcPr>
            <w:tcW w:w="56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color w:val="auto"/>
                <w:kern w:val="0"/>
                <w:sz w:val="22"/>
                <w:highlight w:val="none"/>
              </w:rPr>
            </w:pPr>
          </w:p>
        </w:tc>
        <w:tc>
          <w:tcPr>
            <w:tcW w:w="12899" w:type="dxa"/>
            <w:gridSpan w:val="6"/>
            <w:tcBorders>
              <w:top w:val="nil"/>
              <w:left w:val="nil"/>
              <w:bottom w:val="nil"/>
              <w:right w:val="nil"/>
            </w:tcBorders>
            <w:shd w:val="clear" w:color="auto" w:fill="auto"/>
            <w:vAlign w:val="center"/>
          </w:tcPr>
          <w:p>
            <w:pPr>
              <w:jc w:val="center"/>
              <w:rPr>
                <w:rFonts w:hint="eastAsia" w:ascii="方正小标宋_GBK" w:hAnsi="宋体" w:eastAsia="方正小标宋_GBK" w:cs="宋体"/>
                <w:color w:val="auto"/>
                <w:sz w:val="40"/>
                <w:szCs w:val="40"/>
                <w:highlight w:val="none"/>
                <w:lang w:eastAsia="zh-CN"/>
              </w:rPr>
            </w:pPr>
            <w:bookmarkStart w:id="0" w:name="RANGE!D1"/>
            <w:r>
              <w:rPr>
                <w:rFonts w:hint="eastAsia" w:ascii="方正小标宋_GBK" w:eastAsia="方正小标宋_GBK"/>
                <w:color w:val="auto"/>
                <w:sz w:val="40"/>
                <w:szCs w:val="40"/>
                <w:highlight w:val="none"/>
                <w:lang w:eastAsia="zh-CN"/>
              </w:rPr>
              <w:t>三沙</w:t>
            </w:r>
            <w:r>
              <w:rPr>
                <w:rFonts w:hint="eastAsia" w:ascii="方正小标宋_GBK" w:eastAsia="方正小标宋_GBK"/>
                <w:color w:val="auto"/>
                <w:sz w:val="40"/>
                <w:szCs w:val="40"/>
                <w:highlight w:val="none"/>
              </w:rPr>
              <w:t>海事局</w:t>
            </w:r>
            <w:bookmarkEnd w:id="0"/>
            <w:r>
              <w:rPr>
                <w:rFonts w:hint="eastAsia" w:ascii="方正小标宋_GBK" w:eastAsia="方正小标宋_GBK"/>
                <w:color w:val="auto"/>
                <w:sz w:val="40"/>
                <w:szCs w:val="40"/>
                <w:highlight w:val="none"/>
                <w:lang w:eastAsia="zh-CN"/>
              </w:rPr>
              <w:t>“双随机、一公开”抽查情况公示表</w:t>
            </w:r>
          </w:p>
        </w:tc>
      </w:tr>
      <w:tr>
        <w:tblPrEx>
          <w:tblCellMar>
            <w:top w:w="0" w:type="dxa"/>
            <w:left w:w="108" w:type="dxa"/>
            <w:bottom w:w="0" w:type="dxa"/>
            <w:right w:w="108" w:type="dxa"/>
          </w:tblCellMar>
        </w:tblPrEx>
        <w:trPr>
          <w:trHeight w:val="390" w:hRule="atLeast"/>
        </w:trPr>
        <w:tc>
          <w:tcPr>
            <w:tcW w:w="560"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highlight w:val="none"/>
              </w:rPr>
            </w:pPr>
          </w:p>
        </w:tc>
        <w:tc>
          <w:tcPr>
            <w:tcW w:w="1582"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highlight w:val="none"/>
              </w:rPr>
            </w:pPr>
          </w:p>
        </w:tc>
        <w:tc>
          <w:tcPr>
            <w:tcW w:w="2337"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highlight w:val="none"/>
              </w:rPr>
            </w:pPr>
          </w:p>
        </w:tc>
        <w:tc>
          <w:tcPr>
            <w:tcW w:w="3330" w:type="dxa"/>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eastAsia="zh-CN"/>
              </w:rPr>
              <w:t>抽查年度（月份）：</w:t>
            </w:r>
            <w:r>
              <w:rPr>
                <w:rFonts w:hint="eastAsia" w:ascii="仿宋" w:hAnsi="仿宋" w:eastAsia="仿宋" w:cs="仿宋"/>
                <w:color w:val="auto"/>
                <w:kern w:val="0"/>
                <w:sz w:val="28"/>
                <w:szCs w:val="28"/>
                <w:highlight w:val="none"/>
                <w:lang w:val="en-US" w:eastAsia="zh-CN"/>
              </w:rPr>
              <w:t>2023</w:t>
            </w:r>
          </w:p>
        </w:tc>
        <w:tc>
          <w:tcPr>
            <w:tcW w:w="1220" w:type="dxa"/>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年10月</w:t>
            </w:r>
          </w:p>
        </w:tc>
        <w:tc>
          <w:tcPr>
            <w:tcW w:w="1903" w:type="dxa"/>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8"/>
                <w:szCs w:val="28"/>
                <w:highlight w:val="none"/>
                <w:lang w:eastAsia="zh-CN"/>
              </w:rPr>
            </w:pPr>
          </w:p>
        </w:tc>
        <w:tc>
          <w:tcPr>
            <w:tcW w:w="2527" w:type="dxa"/>
            <w:tcBorders>
              <w:top w:val="nil"/>
              <w:left w:val="nil"/>
              <w:bottom w:val="nil"/>
              <w:right w:val="nil"/>
            </w:tcBorders>
            <w:shd w:val="clear" w:color="auto" w:fill="auto"/>
            <w:vAlign w:val="center"/>
          </w:tcPr>
          <w:p>
            <w:pPr>
              <w:widowControl/>
              <w:jc w:val="left"/>
              <w:rPr>
                <w:rFonts w:ascii="宋体" w:hAnsi="宋体" w:eastAsia="宋体" w:cs="宋体"/>
                <w:color w:val="auto"/>
                <w:kern w:val="0"/>
                <w:sz w:val="28"/>
                <w:szCs w:val="28"/>
                <w:highlight w:val="none"/>
              </w:rPr>
            </w:pPr>
          </w:p>
        </w:tc>
      </w:tr>
      <w:tr>
        <w:tblPrEx>
          <w:tblCellMar>
            <w:top w:w="0" w:type="dxa"/>
            <w:left w:w="108" w:type="dxa"/>
            <w:bottom w:w="0" w:type="dxa"/>
            <w:right w:w="108" w:type="dxa"/>
          </w:tblCellMar>
        </w:tblPrEx>
        <w:trPr>
          <w:trHeight w:val="285" w:hRule="atLeast"/>
        </w:trPr>
        <w:tc>
          <w:tcPr>
            <w:tcW w:w="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序号</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抽查事项名称</w:t>
            </w:r>
          </w:p>
        </w:tc>
        <w:tc>
          <w:tcPr>
            <w:tcW w:w="233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抽查内容</w:t>
            </w:r>
          </w:p>
        </w:tc>
        <w:tc>
          <w:tcPr>
            <w:tcW w:w="333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抽查对象</w:t>
            </w:r>
          </w:p>
        </w:tc>
        <w:tc>
          <w:tcPr>
            <w:tcW w:w="122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抽查数量</w:t>
            </w:r>
          </w:p>
        </w:tc>
        <w:tc>
          <w:tcPr>
            <w:tcW w:w="1903"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抽查结果</w:t>
            </w:r>
          </w:p>
        </w:tc>
        <w:tc>
          <w:tcPr>
            <w:tcW w:w="2527"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备注</w:t>
            </w:r>
          </w:p>
        </w:tc>
      </w:tr>
      <w:tr>
        <w:tblPrEx>
          <w:tblCellMar>
            <w:top w:w="0" w:type="dxa"/>
            <w:left w:w="108" w:type="dxa"/>
            <w:bottom w:w="0" w:type="dxa"/>
            <w:right w:w="108" w:type="dxa"/>
          </w:tblCellMar>
        </w:tblPrEx>
        <w:trPr>
          <w:trHeight w:val="298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船舶污染港区水域作业监督检查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对船舶及有关作业单位落实企业安全生产责任，严格按照有关法律法规和标准的要求从事相关船舶污染港区水域作业情况进行检查。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如下相关作业单位：</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一、在沿海港口进行舷外拷铲、油漆作业或者使用焚烧炉的；</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二、在港区水域内洗舱、清舱、驱气以及排放垃圾、生活污水、残油、含油污水、含有毒有害物质污水等污染物和压载水的；</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三、冲洗沾有污染物、有毒有害物质的甲板的；</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四、进行船舶水上拆解、打捞、修造和其他水上水下船舶施工作业的；</w:t>
            </w:r>
            <w:r>
              <w:rPr>
                <w:rFonts w:hint="eastAsia" w:ascii="仿宋" w:hAnsi="仿宋" w:eastAsia="仿宋" w:cs="宋体"/>
                <w:color w:val="auto"/>
                <w:kern w:val="0"/>
                <w:sz w:val="22"/>
                <w:highlight w:val="none"/>
              </w:rPr>
              <w:br w:type="textWrapping"/>
            </w:r>
            <w:r>
              <w:rPr>
                <w:rFonts w:hint="eastAsia" w:ascii="仿宋" w:hAnsi="仿宋" w:eastAsia="仿宋" w:cs="宋体"/>
                <w:color w:val="auto"/>
                <w:kern w:val="0"/>
                <w:sz w:val="22"/>
                <w:highlight w:val="none"/>
              </w:rPr>
              <w:t>五、进行船舶油料供受作业的。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2</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船舶载运危险货物和污染危害性货物进出港口检查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承运人、托运人或其代理人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w:t>
            </w:r>
            <w:r>
              <w:rPr>
                <w:rFonts w:hint="eastAsia" w:ascii="仿宋" w:hAnsi="仿宋" w:eastAsia="仿宋" w:cs="宋体"/>
                <w:color w:val="auto"/>
                <w:kern w:val="0"/>
                <w:sz w:val="22"/>
                <w:highlight w:val="none"/>
              </w:rPr>
              <w:t>载运危险货物</w:t>
            </w:r>
            <w:r>
              <w:rPr>
                <w:rFonts w:hint="eastAsia" w:ascii="仿宋" w:hAnsi="仿宋" w:eastAsia="仿宋" w:cs="宋体"/>
                <w:color w:val="auto"/>
                <w:kern w:val="0"/>
                <w:sz w:val="22"/>
                <w:highlight w:val="none"/>
                <w:lang w:eastAsia="zh-CN"/>
              </w:rPr>
              <w:t>船舶</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3</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培训机构从事船员、引航员培训业务检查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对培训机构是否取得从事船员、引航员培训业务许可以及许可后的资质保持和培训质量管理情况进行检查。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船员培训机构</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三沙辖区无船员培训机构</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船舶污染物接收单位从事船舶垃圾、残油、含油污水、含有毒有害物质污水接收作业监督检查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对船舶污染物接收单位落实企业安全生产责任，严格按照有关法律法规和标准的要求从事船舶污染物接收作业情况进行检查。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船舶污染物接收单位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三沙辖区无船舶污染物接收单位</w:t>
            </w:r>
          </w:p>
        </w:tc>
      </w:tr>
      <w:tr>
        <w:tblPrEx>
          <w:tblCellMar>
            <w:top w:w="0" w:type="dxa"/>
            <w:left w:w="108" w:type="dxa"/>
            <w:bottom w:w="0" w:type="dxa"/>
            <w:right w:w="108" w:type="dxa"/>
          </w:tblCellMar>
        </w:tblPrEx>
        <w:trPr>
          <w:trHeight w:val="190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5</w:t>
            </w:r>
          </w:p>
        </w:tc>
        <w:tc>
          <w:tcPr>
            <w:tcW w:w="1582"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通航水域岸线安全使用和水上水下活动检查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对施工单位和参与施工船舶是否按许可条件和要求落实安全生产责任制开展水上水下活动进行检查。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建设单位、主办单位或施工单位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eastAsia" w:ascii="仿宋" w:hAnsi="仿宋" w:eastAsia="仿宋" w:cs="宋体"/>
                <w:color w:val="auto"/>
                <w:kern w:val="0"/>
                <w:sz w:val="22"/>
                <w:highlight w:val="none"/>
                <w:lang w:val="en-US" w:eastAsia="zh-CN"/>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期间辖区无水工项目</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6</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大型设施、移动式平台、超限物体水上拖带活动检查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对拖带活动组织单位和参与拖带的船舶是否按许可条件和要求落实安全生产责任制开展水上水下活动进行检查。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拖带活动组织单位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期间辖区无相关业务</w:t>
            </w:r>
          </w:p>
        </w:tc>
      </w:tr>
      <w:tr>
        <w:tblPrEx>
          <w:tblCellMar>
            <w:top w:w="0" w:type="dxa"/>
            <w:left w:w="108" w:type="dxa"/>
            <w:bottom w:w="0" w:type="dxa"/>
            <w:right w:w="108" w:type="dxa"/>
          </w:tblCellMar>
        </w:tblPrEx>
        <w:trPr>
          <w:trHeight w:val="244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7</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港口、码头、装卸站以及从事船舶修造、打捞、拆解等作业活动的单位防治船舶污染能力</w:t>
            </w:r>
            <w:r>
              <w:rPr>
                <w:rFonts w:hint="eastAsia" w:ascii="仿宋" w:hAnsi="仿宋" w:eastAsia="仿宋" w:cs="宋体"/>
                <w:color w:val="auto"/>
                <w:kern w:val="0"/>
                <w:sz w:val="22"/>
                <w:highlight w:val="none"/>
              </w:rPr>
              <w:t>专项验收监督检查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港口、码头、装卸站以及从事船舶修造、打捞、拆解等作业活动的单位</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期间辖区无相关业务</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8</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船舶进出港口检查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对国际航行船舶进出口岸的许可办理手续情况进行检查；对国内航行船舶进出港口履行报告情况进行检查。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辖区</w:t>
            </w:r>
            <w:r>
              <w:rPr>
                <w:rFonts w:hint="eastAsia" w:ascii="仿宋" w:hAnsi="仿宋" w:eastAsia="仿宋" w:cs="宋体"/>
                <w:color w:val="auto"/>
                <w:kern w:val="0"/>
                <w:sz w:val="22"/>
                <w:highlight w:val="none"/>
              </w:rPr>
              <w:t>国内航行船舶</w:t>
            </w:r>
            <w:r>
              <w:rPr>
                <w:rFonts w:hint="eastAsia" w:ascii="仿宋" w:hAnsi="仿宋" w:eastAsia="仿宋" w:cs="宋体"/>
                <w:color w:val="auto"/>
                <w:kern w:val="0"/>
                <w:sz w:val="22"/>
                <w:highlight w:val="none"/>
                <w:lang w:eastAsia="zh-CN"/>
              </w:rPr>
              <w:t>进出港共计</w:t>
            </w:r>
            <w:r>
              <w:rPr>
                <w:rFonts w:hint="eastAsia" w:ascii="仿宋" w:hAnsi="仿宋" w:eastAsia="仿宋" w:cs="宋体"/>
                <w:color w:val="auto"/>
                <w:kern w:val="0"/>
                <w:sz w:val="22"/>
                <w:highlight w:val="none"/>
                <w:lang w:val="en-US" w:eastAsia="zh-CN"/>
              </w:rPr>
              <w:t>158艘次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w:t>
            </w:r>
            <w:r>
              <w:rPr>
                <w:rFonts w:hint="eastAsia" w:ascii="仿宋" w:hAnsi="仿宋" w:eastAsia="仿宋" w:cs="宋体"/>
                <w:color w:val="auto"/>
                <w:kern w:val="0"/>
                <w:sz w:val="22"/>
                <w:highlight w:val="none"/>
              </w:rPr>
              <w:t>国际航行船舶进出口岸</w:t>
            </w:r>
            <w:r>
              <w:rPr>
                <w:rFonts w:hint="eastAsia" w:ascii="仿宋" w:hAnsi="仿宋" w:eastAsia="仿宋" w:cs="宋体"/>
                <w:color w:val="auto"/>
                <w:kern w:val="0"/>
                <w:sz w:val="22"/>
                <w:highlight w:val="none"/>
                <w:lang w:eastAsia="zh-CN"/>
              </w:rPr>
              <w:t>；</w:t>
            </w:r>
          </w:p>
          <w:p>
            <w:pPr>
              <w:widowControl/>
              <w:jc w:val="left"/>
              <w:rPr>
                <w:rFonts w:hint="default" w:ascii="仿宋" w:hAnsi="仿宋" w:eastAsia="仿宋" w:cs="宋体"/>
                <w:color w:val="auto"/>
                <w:kern w:val="0"/>
                <w:sz w:val="22"/>
                <w:highlight w:val="none"/>
                <w:lang w:val="en-US" w:eastAsia="zh-CN"/>
              </w:rPr>
            </w:pP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9</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船舶安全检验证书核发检查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对船舶检验证书核发的正确性、准确性及船舶持有检验证书的情况进行检查。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8艘次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结合船舶安全检查和现场监督检查开展。</w:t>
            </w:r>
          </w:p>
        </w:tc>
      </w:tr>
      <w:tr>
        <w:tblPrEx>
          <w:tblCellMar>
            <w:top w:w="0" w:type="dxa"/>
            <w:left w:w="108" w:type="dxa"/>
            <w:bottom w:w="0" w:type="dxa"/>
            <w:right w:w="108" w:type="dxa"/>
          </w:tblCellMar>
        </w:tblPrEx>
        <w:trPr>
          <w:trHeight w:val="109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10</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船舶国籍证书核发检查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对已核发国籍证书的有效期是否正确、相关信息系统中国籍信息是否与档案材料一致等情况进行检查。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8艘次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结合船舶安全检查和现场监督检查开展。</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11</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船舶所有人、经营人或者管理人防止船舶及其有关作业活动污染海洋环境应急预案检查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对船舶所有人、经营人或者管理人防止船舶及其有关作业活动污染海洋环境应急预案是否与船舶实际情况相一致、是否按照预案要求开展演习和培训等情况进行检查。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船舶所有人、经营人或者管理人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8艘次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highlight w:val="none"/>
                <w:lang w:val="en-US" w:eastAsia="zh-CN"/>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结合船舶安全检查和现场监督检查开展。</w:t>
            </w:r>
          </w:p>
        </w:tc>
      </w:tr>
      <w:tr>
        <w:tblPrEx>
          <w:tblCellMar>
            <w:top w:w="0" w:type="dxa"/>
            <w:left w:w="108" w:type="dxa"/>
            <w:bottom w:w="0" w:type="dxa"/>
            <w:right w:w="108" w:type="dxa"/>
          </w:tblCellMar>
        </w:tblPrEx>
        <w:trPr>
          <w:trHeight w:val="217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12</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船舶油污损害民事责任保险证书或者财务保证证书核发检查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航运公司（含船舶管理人）</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8艘次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numPr>
                <w:ilvl w:val="0"/>
                <w:numId w:val="1"/>
              </w:numPr>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w:t>
            </w:r>
            <w:r>
              <w:rPr>
                <w:rFonts w:hint="eastAsia" w:ascii="仿宋" w:hAnsi="仿宋" w:eastAsia="仿宋" w:cs="宋体"/>
                <w:color w:val="auto"/>
                <w:kern w:val="0"/>
                <w:sz w:val="22"/>
                <w:highlight w:val="none"/>
              </w:rPr>
              <w:t>国际航行船舶</w:t>
            </w:r>
            <w:r>
              <w:rPr>
                <w:rFonts w:hint="eastAsia" w:ascii="仿宋" w:hAnsi="仿宋" w:eastAsia="仿宋" w:cs="宋体"/>
                <w:color w:val="auto"/>
                <w:kern w:val="0"/>
                <w:sz w:val="22"/>
                <w:highlight w:val="none"/>
                <w:lang w:eastAsia="zh-CN"/>
              </w:rPr>
              <w:t>；</w:t>
            </w:r>
          </w:p>
          <w:p>
            <w:pPr>
              <w:widowControl/>
              <w:numPr>
                <w:ilvl w:val="0"/>
                <w:numId w:val="1"/>
              </w:numPr>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val="en-US" w:eastAsia="zh-CN"/>
              </w:rPr>
              <w:t>结合船舶安全检查和现场监督检查开展。</w:t>
            </w:r>
          </w:p>
          <w:p>
            <w:pPr>
              <w:widowControl/>
              <w:jc w:val="left"/>
              <w:rPr>
                <w:rFonts w:hint="default" w:ascii="仿宋" w:hAnsi="仿宋" w:eastAsia="仿宋" w:cs="宋体"/>
                <w:color w:val="auto"/>
                <w:kern w:val="0"/>
                <w:sz w:val="22"/>
                <w:highlight w:val="none"/>
                <w:lang w:val="en-US" w:eastAsia="zh-CN"/>
              </w:rPr>
            </w:pPr>
          </w:p>
        </w:tc>
      </w:tr>
      <w:tr>
        <w:tblPrEx>
          <w:tblCellMar>
            <w:top w:w="0" w:type="dxa"/>
            <w:left w:w="108" w:type="dxa"/>
            <w:bottom w:w="0" w:type="dxa"/>
            <w:right w:w="108" w:type="dxa"/>
          </w:tblCellMar>
        </w:tblPrEx>
        <w:trPr>
          <w:trHeight w:val="136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13</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危险化学品水路运输人员资质检查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对取得危险化学品水路运输资质的申报人员申报是否符合规定、是否如实申报、装箱检查员装箱质量等从业行为进行检查。</w:t>
            </w:r>
          </w:p>
        </w:tc>
        <w:tc>
          <w:tcPr>
            <w:tcW w:w="3330"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水路运输企业、申报员、检查员</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highlight w:val="none"/>
                <w:lang w:eastAsia="zh-CN"/>
              </w:rPr>
            </w:pPr>
            <w:r>
              <w:rPr>
                <w:rFonts w:hint="eastAsia" w:ascii="仿宋" w:hAnsi="仿宋" w:eastAsia="仿宋" w:cs="宋体"/>
                <w:color w:val="auto"/>
                <w:kern w:val="0"/>
                <w:sz w:val="22"/>
                <w:highlight w:val="none"/>
                <w:lang w:eastAsia="zh-CN"/>
              </w:rPr>
              <w:t>三沙辖区无</w:t>
            </w:r>
            <w:r>
              <w:rPr>
                <w:rFonts w:hint="eastAsia" w:ascii="仿宋" w:hAnsi="仿宋" w:eastAsia="仿宋" w:cs="宋体"/>
                <w:color w:val="auto"/>
                <w:kern w:val="0"/>
                <w:sz w:val="22"/>
                <w:highlight w:val="none"/>
              </w:rPr>
              <w:t>危险化学品</w:t>
            </w:r>
            <w:r>
              <w:rPr>
                <w:rFonts w:hint="eastAsia" w:ascii="仿宋" w:hAnsi="仿宋" w:eastAsia="仿宋" w:cs="宋体"/>
                <w:color w:val="auto"/>
                <w:kern w:val="0"/>
                <w:sz w:val="22"/>
                <w:highlight w:val="none"/>
                <w:lang w:eastAsia="zh-CN"/>
              </w:rPr>
              <w:t>运输船舶</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14</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船舶电台执照核发检查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船舶是否按照规定持有船舶电台执照；船舶电台执照是否存在伪造、涂改情况；船舶电台执照是否在有效期内；船舶电台执照所载明事项是否与船舶的实际情况相符。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color w:val="auto"/>
                <w:kern w:val="0"/>
                <w:sz w:val="22"/>
                <w:szCs w:val="22"/>
                <w:highlight w:val="none"/>
                <w:lang w:val="en-US" w:eastAsia="zh-CN" w:bidi="ar-SA"/>
              </w:rPr>
            </w:pPr>
            <w:r>
              <w:rPr>
                <w:rFonts w:hint="eastAsia" w:ascii="仿宋" w:hAnsi="仿宋" w:eastAsia="仿宋" w:cs="宋体"/>
                <w:color w:val="auto"/>
                <w:kern w:val="0"/>
                <w:sz w:val="22"/>
                <w:highlight w:val="none"/>
                <w:lang w:val="en-US" w:eastAsia="zh-CN"/>
              </w:rPr>
              <w:t>8艘次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eastAsia" w:ascii="仿宋" w:hAnsi="仿宋" w:eastAsia="仿宋" w:cs="宋体"/>
                <w:color w:val="auto"/>
                <w:kern w:val="0"/>
                <w:sz w:val="22"/>
                <w:szCs w:val="22"/>
                <w:highlight w:val="none"/>
                <w:lang w:val="en-US" w:eastAsia="zh-CN" w:bidi="ar-SA"/>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szCs w:val="22"/>
                <w:highlight w:val="none"/>
                <w:lang w:val="en-US" w:eastAsia="zh-CN" w:bidi="ar-SA"/>
              </w:rPr>
            </w:pPr>
            <w:r>
              <w:rPr>
                <w:rFonts w:hint="eastAsia" w:ascii="仿宋" w:hAnsi="仿宋" w:eastAsia="仿宋" w:cs="宋体"/>
                <w:color w:val="auto"/>
                <w:kern w:val="0"/>
                <w:sz w:val="22"/>
                <w:highlight w:val="none"/>
                <w:lang w:val="en-US" w:eastAsia="zh-CN"/>
              </w:rPr>
              <w:t>结合船舶安全检查和现场监督检查开展。</w:t>
            </w:r>
          </w:p>
        </w:tc>
      </w:tr>
      <w:tr>
        <w:tblPrEx>
          <w:tblCellMar>
            <w:top w:w="0" w:type="dxa"/>
            <w:left w:w="108" w:type="dxa"/>
            <w:bottom w:w="0" w:type="dxa"/>
            <w:right w:w="108" w:type="dxa"/>
          </w:tblCellMar>
        </w:tblPrEx>
        <w:trPr>
          <w:trHeight w:val="163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15</w:t>
            </w:r>
          </w:p>
        </w:tc>
        <w:tc>
          <w:tcPr>
            <w:tcW w:w="1582"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海上移动通信业务标识码证书（船舶自动识别系统AIS标识码证书）核发检查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船舶是否按照规定持有标识码证书；标识码证书是否存在伪造、涂改情况；标识码证书是否在有效期内；标识码证书所载明事项是否与船舶的实际情况相符。</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color w:val="auto"/>
                <w:kern w:val="0"/>
                <w:sz w:val="22"/>
                <w:szCs w:val="22"/>
                <w:highlight w:val="none"/>
                <w:lang w:val="en-US" w:eastAsia="zh-CN" w:bidi="ar-SA"/>
              </w:rPr>
            </w:pPr>
            <w:r>
              <w:rPr>
                <w:rFonts w:hint="eastAsia" w:ascii="仿宋" w:hAnsi="仿宋" w:eastAsia="仿宋" w:cs="宋体"/>
                <w:color w:val="auto"/>
                <w:kern w:val="0"/>
                <w:sz w:val="22"/>
                <w:highlight w:val="none"/>
                <w:lang w:val="en-US" w:eastAsia="zh-CN"/>
              </w:rPr>
              <w:t>8艘次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szCs w:val="22"/>
                <w:highlight w:val="none"/>
                <w:lang w:val="en-US" w:eastAsia="zh-CN" w:bidi="ar-SA"/>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szCs w:val="22"/>
                <w:highlight w:val="none"/>
                <w:lang w:val="en-US" w:eastAsia="zh-CN" w:bidi="ar-SA"/>
              </w:rPr>
            </w:pPr>
            <w:r>
              <w:rPr>
                <w:rFonts w:hint="eastAsia" w:ascii="仿宋" w:hAnsi="仿宋" w:eastAsia="仿宋" w:cs="宋体"/>
                <w:color w:val="auto"/>
                <w:kern w:val="0"/>
                <w:sz w:val="22"/>
                <w:highlight w:val="none"/>
                <w:lang w:val="en-US" w:eastAsia="zh-CN"/>
              </w:rPr>
              <w:t>结合船舶安全检查和现场监督检查开展。</w:t>
            </w:r>
          </w:p>
        </w:tc>
      </w:tr>
      <w:tr>
        <w:tblPrEx>
          <w:tblCellMar>
            <w:top w:w="0" w:type="dxa"/>
            <w:left w:w="108" w:type="dxa"/>
            <w:bottom w:w="0" w:type="dxa"/>
            <w:right w:w="108" w:type="dxa"/>
          </w:tblCellMar>
        </w:tblPrEx>
        <w:trPr>
          <w:trHeight w:val="825" w:hRule="atLeast"/>
        </w:trPr>
        <w:tc>
          <w:tcPr>
            <w:tcW w:w="560"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16</w:t>
            </w:r>
          </w:p>
        </w:tc>
        <w:tc>
          <w:tcPr>
            <w:tcW w:w="1582"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水上无线电通信秩序监督检查</w:t>
            </w:r>
          </w:p>
        </w:tc>
        <w:tc>
          <w:tcPr>
            <w:tcW w:w="2337" w:type="dxa"/>
            <w:tcBorders>
              <w:top w:val="nil"/>
              <w:left w:val="nil"/>
              <w:bottom w:val="single" w:color="000000" w:sz="8" w:space="0"/>
              <w:right w:val="single" w:color="000000" w:sz="8" w:space="0"/>
            </w:tcBorders>
            <w:shd w:val="clear" w:color="auto" w:fill="auto"/>
            <w:vAlign w:val="center"/>
          </w:tcPr>
          <w:p>
            <w:pPr>
              <w:widowControl/>
              <w:jc w:val="left"/>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对无线频率、电台呼号、船舶电台等水上无线电使用情况进行检查。</w:t>
            </w:r>
          </w:p>
        </w:tc>
        <w:tc>
          <w:tcPr>
            <w:tcW w:w="3330" w:type="dxa"/>
            <w:tcBorders>
              <w:top w:val="nil"/>
              <w:left w:val="nil"/>
              <w:bottom w:val="single" w:color="000000" w:sz="8" w:space="0"/>
              <w:right w:val="single" w:color="000000" w:sz="8" w:space="0"/>
            </w:tcBorders>
            <w:shd w:val="clear" w:color="auto" w:fill="auto"/>
            <w:vAlign w:val="center"/>
          </w:tcPr>
          <w:p>
            <w:pPr>
              <w:widowControl/>
              <w:rPr>
                <w:rFonts w:ascii="仿宋" w:hAnsi="仿宋" w:eastAsia="仿宋" w:cs="宋体"/>
                <w:color w:val="auto"/>
                <w:kern w:val="0"/>
                <w:sz w:val="22"/>
                <w:highlight w:val="none"/>
              </w:rPr>
            </w:pPr>
            <w:r>
              <w:rPr>
                <w:rFonts w:hint="eastAsia" w:ascii="仿宋" w:hAnsi="仿宋" w:eastAsia="仿宋" w:cs="宋体"/>
                <w:color w:val="auto"/>
                <w:kern w:val="0"/>
                <w:sz w:val="22"/>
                <w:highlight w:val="none"/>
              </w:rPr>
              <w:t>船舶</w:t>
            </w:r>
          </w:p>
        </w:tc>
        <w:tc>
          <w:tcPr>
            <w:tcW w:w="1220" w:type="dxa"/>
            <w:tcBorders>
              <w:top w:val="nil"/>
              <w:left w:val="nil"/>
              <w:bottom w:val="single" w:color="000000" w:sz="8" w:space="0"/>
              <w:right w:val="single" w:color="000000" w:sz="8" w:space="0"/>
            </w:tcBorders>
            <w:shd w:val="clear" w:color="auto" w:fill="auto"/>
            <w:vAlign w:val="center"/>
          </w:tcPr>
          <w:p>
            <w:pPr>
              <w:widowControl/>
              <w:jc w:val="center"/>
              <w:rPr>
                <w:rFonts w:hint="default" w:ascii="仿宋" w:hAnsi="仿宋" w:eastAsia="仿宋" w:cs="宋体"/>
                <w:color w:val="auto"/>
                <w:kern w:val="0"/>
                <w:sz w:val="22"/>
                <w:szCs w:val="22"/>
                <w:highlight w:val="none"/>
                <w:lang w:val="en-US" w:eastAsia="zh-CN" w:bidi="ar-SA"/>
              </w:rPr>
            </w:pPr>
            <w:r>
              <w:rPr>
                <w:rFonts w:hint="eastAsia" w:ascii="仿宋" w:hAnsi="仿宋" w:eastAsia="仿宋" w:cs="宋体"/>
                <w:color w:val="auto"/>
                <w:kern w:val="0"/>
                <w:sz w:val="22"/>
                <w:highlight w:val="none"/>
                <w:lang w:val="en-US" w:eastAsia="zh-CN"/>
              </w:rPr>
              <w:t>8艘次</w:t>
            </w:r>
          </w:p>
        </w:tc>
        <w:tc>
          <w:tcPr>
            <w:tcW w:w="1903"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szCs w:val="22"/>
                <w:highlight w:val="none"/>
                <w:lang w:val="en-US" w:eastAsia="zh-CN" w:bidi="ar-SA"/>
              </w:rPr>
            </w:pPr>
            <w:r>
              <w:rPr>
                <w:rFonts w:hint="eastAsia" w:ascii="仿宋" w:hAnsi="仿宋" w:eastAsia="仿宋" w:cs="宋体"/>
                <w:color w:val="auto"/>
                <w:kern w:val="0"/>
                <w:sz w:val="22"/>
                <w:highlight w:val="none"/>
                <w:lang w:val="en-US" w:eastAsia="zh-CN"/>
              </w:rPr>
              <w:t>未发现问题</w:t>
            </w:r>
          </w:p>
        </w:tc>
        <w:tc>
          <w:tcPr>
            <w:tcW w:w="2527" w:type="dxa"/>
            <w:tcBorders>
              <w:top w:val="nil"/>
              <w:left w:val="nil"/>
              <w:bottom w:val="single" w:color="000000" w:sz="8" w:space="0"/>
              <w:right w:val="single" w:color="000000" w:sz="8" w:space="0"/>
            </w:tcBorders>
            <w:shd w:val="clear" w:color="auto" w:fill="auto"/>
            <w:vAlign w:val="center"/>
          </w:tcPr>
          <w:p>
            <w:pPr>
              <w:widowControl/>
              <w:jc w:val="left"/>
              <w:rPr>
                <w:rFonts w:hint="default" w:ascii="仿宋" w:hAnsi="仿宋" w:eastAsia="仿宋" w:cs="宋体"/>
                <w:color w:val="auto"/>
                <w:kern w:val="0"/>
                <w:sz w:val="22"/>
                <w:szCs w:val="22"/>
                <w:highlight w:val="none"/>
                <w:lang w:val="en-US" w:eastAsia="zh-CN" w:bidi="ar-SA"/>
              </w:rPr>
            </w:pPr>
            <w:r>
              <w:rPr>
                <w:rFonts w:hint="eastAsia" w:ascii="仿宋" w:hAnsi="仿宋" w:eastAsia="仿宋" w:cs="宋体"/>
                <w:color w:val="auto"/>
                <w:kern w:val="0"/>
                <w:sz w:val="22"/>
                <w:highlight w:val="none"/>
                <w:lang w:val="en-US" w:eastAsia="zh-CN"/>
              </w:rPr>
              <w:t>结合船舶安全检查和现场监督检查开展。</w:t>
            </w: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D5C185"/>
    <w:multiLevelType w:val="singleLevel"/>
    <w:tmpl w:val="F5D5C18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0"/>
    <w:rsid w:val="00177574"/>
    <w:rsid w:val="00484575"/>
    <w:rsid w:val="00521340"/>
    <w:rsid w:val="00DA3531"/>
    <w:rsid w:val="00E126B4"/>
    <w:rsid w:val="234D2025"/>
    <w:rsid w:val="24214CB8"/>
    <w:rsid w:val="357F2823"/>
    <w:rsid w:val="36EB1B5C"/>
    <w:rsid w:val="37FF426A"/>
    <w:rsid w:val="3F7B8E9D"/>
    <w:rsid w:val="3FF37388"/>
    <w:rsid w:val="4CDAA4C3"/>
    <w:rsid w:val="4DBBD011"/>
    <w:rsid w:val="4E145C6F"/>
    <w:rsid w:val="4F7DBEB8"/>
    <w:rsid w:val="543FAB7E"/>
    <w:rsid w:val="5B1A754D"/>
    <w:rsid w:val="5E5754DB"/>
    <w:rsid w:val="5F5FFBF7"/>
    <w:rsid w:val="5FE69001"/>
    <w:rsid w:val="69772FCB"/>
    <w:rsid w:val="6B7E6EB1"/>
    <w:rsid w:val="6FAF216B"/>
    <w:rsid w:val="73FD92A1"/>
    <w:rsid w:val="75B544F5"/>
    <w:rsid w:val="775F807D"/>
    <w:rsid w:val="777B53E1"/>
    <w:rsid w:val="77EE057F"/>
    <w:rsid w:val="77FBBF9A"/>
    <w:rsid w:val="7A28C731"/>
    <w:rsid w:val="7A3DC858"/>
    <w:rsid w:val="7AFF4D27"/>
    <w:rsid w:val="7BED1A36"/>
    <w:rsid w:val="7BEF3907"/>
    <w:rsid w:val="7DCFFD18"/>
    <w:rsid w:val="7EB70E56"/>
    <w:rsid w:val="7FCB816D"/>
    <w:rsid w:val="7FFF156F"/>
    <w:rsid w:val="B4BF2F2B"/>
    <w:rsid w:val="BA7B23C6"/>
    <w:rsid w:val="BB77AFAE"/>
    <w:rsid w:val="BBFB09E4"/>
    <w:rsid w:val="BDFA69BE"/>
    <w:rsid w:val="D6FEF1D4"/>
    <w:rsid w:val="DAE7868C"/>
    <w:rsid w:val="DBFF62C8"/>
    <w:rsid w:val="DCAE21CE"/>
    <w:rsid w:val="DD77A687"/>
    <w:rsid w:val="DFFF93C9"/>
    <w:rsid w:val="E7CF3B3A"/>
    <w:rsid w:val="EFD66961"/>
    <w:rsid w:val="F2FF05B0"/>
    <w:rsid w:val="F5ED9F4B"/>
    <w:rsid w:val="F747F73A"/>
    <w:rsid w:val="F7FFF428"/>
    <w:rsid w:val="F97F5FD2"/>
    <w:rsid w:val="FB997311"/>
    <w:rsid w:val="FDFF9B8C"/>
    <w:rsid w:val="FE6B8720"/>
    <w:rsid w:val="FFBF41EE"/>
    <w:rsid w:val="FFBF7E2E"/>
    <w:rsid w:val="FFD765EC"/>
    <w:rsid w:val="FFDF8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Words>
  <Characters>2079</Characters>
  <Lines>17</Lines>
  <Paragraphs>4</Paragraphs>
  <TotalTime>0</TotalTime>
  <ScaleCrop>false</ScaleCrop>
  <LinksUpToDate>false</LinksUpToDate>
  <CharactersWithSpaces>2439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2019-11-13T23:26:00Z</dcterms:created>
  <dc:creator>DC</dc:creator>
  <cp:lastModifiedBy>kylin</cp:lastModifiedBy>
  <dcterms:modified xsi:type="dcterms:W3CDTF">2023-11-22T08:58:12Z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